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EmscherGG - (Nordrhein-Westfalen) — Zulässigkeit der Enteignung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Durchführung von Genossenschaftsaufgaben ist, soweit erforderlich, die Enteignung zulässig. Das Landesenteignungs- und -entschädigungsgesetz ist anzuwenden.</w:t>
      </w:r>
    </w:p>
    <w:p>
      <w:r>
        <w:t xml:space="preserve">Fünfter Teil</w:t>
      </w:r>
    </w:p>
    <w:p>
      <w:r>
        <w:t xml:space="preserve">Innere Verfassung</w:t>
      </w:r>
    </w:p>
    <w:p>
      <w:r>
        <w:rPr>
          <w:color w:val="555555"/>
          <w:sz w:val="17"/>
        </w:rPr>
        <w:t xml:space="preserve">Zitiervorschlag: § 8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