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33 EmscherGG - (Nordrhein-Westfalen) — Aufsicht</w:t>
      </w:r>
    </w:p>
    <w:p>
      <w:r>
        <w:rPr>
          <w:color w:val="555555"/>
          <w:sz w:val="18"/>
        </w:rPr>
        <w:t xml:space="preserve">Emschergenossenschaftsgesetz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Genossenschaft steht unter der Aufsicht des Staates. Aufsichtsbehörde ist das für Umwelt zuständige Ministerium (Ministerium).</w:t>
      </w:r>
    </w:p>
    <w:p>
      <w:r>
        <w:t xml:space="preserve">(2) Die Aufsicht stellt sicher, daß die Genossenschaft die ihr obliegenden Aufgaben und Pflichten nach geltendem Recht und im Einklang mit den wasserwirtschaftlichen Zielsetzungen des Landes erfüllt.</w:t>
      </w:r>
    </w:p>
    <w:p>
      <w:r>
        <w:rPr>
          <w:color w:val="555555"/>
          <w:sz w:val="17"/>
        </w:rPr>
        <w:t xml:space="preserve">Zitiervorschlag: § 33 EmscherGG -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https://recht.nulegal.eu/gesetze/EmscherGG%20-/33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