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 EmscherGG - (Nordrhein-Westfalen) — Aufgaben des Widerspruchsausschusses</w:t>
      </w:r>
    </w:p>
    <w:p>
      <w:r>
        <w:rPr>
          <w:color w:val="555555"/>
          <w:sz w:val="18"/>
        </w:rPr>
        <w:t xml:space="preserve">Emschergenossenschaftsgesetz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Widerspruchsausschuß entscheidet über Widersprüche nach § 6 Abs. 5, § 7 Abs. 2, § 26 Abs. 3, § 27 Abs. 3 und § 31 Abs. 2, soweit der Vorstand ihnen nicht abgeholfen hat. Er entscheidet ferner über Anträge nach § 80 der Verwaltungsgerichtsordnung, denen der Vorstand nicht stattgegeben hat.</w:t>
      </w:r>
    </w:p>
    <w:p>
      <w:r>
        <w:rPr>
          <w:color w:val="555555"/>
          <w:sz w:val="17"/>
        </w:rPr>
        <w:t xml:space="preserve">Zitiervorschlag: § 29 EmscherGG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https://recht.nulegal.eu/gesetze/EmscherGG%20-/29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