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EmsSchEV — Sichtzeichen kleiner Fahrzeuge</w:t>
      </w:r>
    </w:p>
    <w:p>
      <w:r>
        <w:rPr>
          <w:color w:val="555555"/>
          <w:sz w:val="18"/>
        </w:rPr>
        <w:t xml:space="preserve">Verordnung zur Einführung der Schiffahrtsordnung Emsmündung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Ergänzend zu Artikel 6 der Schiffahrtsordnung Emsmündung und abweichend von Regel 22 Buchstabe c der Internationalen Regeln müssen Fahrzeuge von weniger als 12 m Länge, die berechtigt sind, die Bundesflagge zu führen, Seitenlichter mit einer Mindesttragweite von zwei Seemeilen führen.</w:t>
      </w:r>
    </w:p>
    <w:p>
      <w:r>
        <w:t xml:space="preserve">(2) Ergänzend zu Artikel 6 der Schiffahrtsordnung Emsmündung und abweichend von Regel 26 Buchstabe c der Internationalen Regeln brauchen offene Fischerboote oberhalb Ems-km 35,785 nur ein weißes Rundumlicht zu führen. Regel 26 Buchstabe e der Internationalen Regeln bleibt unberührt.</w:t>
      </w:r>
    </w:p>
    <w:p>
      <w:r>
        <w:rPr>
          <w:color w:val="555555"/>
          <w:sz w:val="17"/>
        </w:rPr>
        <w:t xml:space="preserve">Zitiervorschlag: § 8 EmsSchEV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https://recht.nulegal.eu/gesetze/EmsSchEV/8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