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EmsSchEV — Zuwiderhandlungen gegen Vorschriften der Schiffahrtsordnung Emsmündung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15 Abs. 1 Nr. 2 des Seeaufgabengesetzes handelt, wer als Fahrzeugführer oder sonst nach § 4 Abs. 1 für die Sicherheit Verantwortlicher vorsätzlich oder fahrlässig</w:t>
      </w:r>
    </w:p>
    <w:p>
      <w:pPr>
        <w:ind w:left="420"/>
      </w:pPr>
      <w:r>
        <w:t xml:space="preserve">1. entgegen Artikel 2 Abs. 2 eine durch ein Gebots- oder Verbotszeichen getroffene vollziehbare Anordnung nicht befolgt,</w:t>
      </w:r>
    </w:p>
    <w:p>
      <w:pPr>
        <w:ind w:left="420"/>
      </w:pPr>
      <w:r>
        <w:t xml:space="preserve">2. entgegen Artikel 3 Abs. 1 Satz 2 ein Sichtzeichen führt oder zeigt oder ein Schallsignal gibt, das mit dem vorgeschriebenen oder vorgesehenen verwechselt werden kann, oder entgegen Abs. 3 einen Scheinwerfer oder ein anderes als das vorgeschriebene Licht gebraucht,</w:t>
      </w:r>
    </w:p>
    <w:p>
      <w:pPr>
        <w:ind w:left="420"/>
      </w:pPr>
      <w:r>
        <w:t xml:space="preserve">3. einer Vorschrift des Artikels 4 Abs. 1 Satz 2 oder 3 über das Mitführen, das Anbringen oder den Sichtbereich, des Abs. 2 über die Mindesttragweite oder des Abs. 4 Satz 1 oder 2 über die Beschaffenheit der Sichtzeichen zuwiderhandelt,</w:t>
      </w:r>
    </w:p>
    <w:p>
      <w:pPr>
        <w:ind w:left="420"/>
      </w:pPr>
      <w:r>
        <w:t xml:space="preserve">4. einer Vorschrift des Artikels 6 Abs. 1, des Artikels 7 in Verbindung mit Regel 23 Buchstabe a der Internationalen Regeln, des Artikels 8 Abs. 1 Satz 1 oder 2, diese jeweils auch in Verbindung mit Abs. 2, des Artikels 9 oder 10 Abs. 1 oder 2, dieser in Verbindung mit Regel 30 Buchstabe a oder c der Internationalen Regeln, über das Führen von Sichtzeichen zuwiderhandelt,</w:t>
      </w:r>
    </w:p>
    <w:p>
      <w:pPr>
        <w:ind w:left="420"/>
      </w:pPr>
      <w:r>
        <w:t xml:space="preserve">5. entgegen Artikel 6 Abs. 2 Satz 1 mit einem kleinen Fahrzeug während der Zeit, in der die Lichterführung vorgeschrieben ist, fährt oder entgegen Satz 2 eine elektrische Leuchte oder eine Laterne mit einem weißen Licht nicht gebrauchsfertig mitführt oder diese nicht oder nicht rechtzeitig zeigt,</w:t>
      </w:r>
    </w:p>
    <w:p>
      <w:pPr>
        <w:ind w:left="420"/>
      </w:pPr>
      <w:r>
        <w:t xml:space="preserve">6. einer Vorschrift des Artikels 12 über das Geben des Achtungssignals, des Artikels 13 Abs. 1 oder 2 Satz 1 bis 4 über das Geben des Gefahr- und Warnsignals oder des Artikels 14 über das Geben des Nebelsignals zuwiderhandelt,</w:t>
      </w:r>
    </w:p>
    <w:p>
      <w:pPr>
        <w:ind w:left="420"/>
      </w:pPr>
      <w:r>
        <w:t xml:space="preserve">7. einer Vorschrift des Artikels 15 Abs. 1, Abs. 2 oder Abs. 3 Halbsatz 1 über das Rechtsfahrgebot, des Artikels 16 Abs. 1, Abs. 2 Satz 1 oder Abs. 3 bis 5 über das Überholen, des Artikels 17 Abs. 1 bis 3 oder 4 Satz 2, 3 über das Begegnen, des Artikels 18 über die Vorfahrt oder des Artikels 19 Abs. 1 Satz 1, 2 oder 4 oder Abs. 2, 3 über die Fahrgeschwindigkeit zuwiderhandelt,</w:t>
      </w:r>
    </w:p>
    <w:p>
      <w:pPr>
        <w:ind w:left="420"/>
      </w:pPr>
      <w:r>
        <w:t xml:space="preserve">8. einer Vorschrift des Artikels 20 über das Schleppen oder Schieben zuwiderhandelt,</w:t>
      </w:r>
    </w:p>
    <w:p>
      <w:pPr>
        <w:ind w:left="420"/>
      </w:pPr>
      <w:r>
        <w:t xml:space="preserve">9. entgegen Artikel 21 Abs. 1 allein oder in Verbindung mit Abs. 3 die Emsmündung befährt, entgegen Abs. 4 eine von der Behörde festgelegte Wasserfläche ohne vorherige Meldung oder nicht wie vorgeschrieben befährt oder entgegen Abs. 5 Satz 1 eine von der Behörde festgelegte Wasserfläche befährt,</w:t>
      </w:r>
    </w:p>
    <w:p>
      <w:pPr>
        <w:ind w:left="420"/>
      </w:pPr>
      <w:r>
        <w:t xml:space="preserve">10. einer Vorschrift des Artikels 22 Abs. 1, Abs. 2 Satz 1 oder Abs. 4 über den Wasserski zuwiderhandelt,</w:t>
      </w:r>
    </w:p>
    <w:p>
      <w:pPr>
        <w:ind w:left="420"/>
      </w:pPr>
      <w:r>
        <w:t xml:space="preserve">11. entgegen Artikel 23 Abs. 1 oder 4 Satz 1 ankert, entgegen Abs. 2 einen Anker schleppt oder zu Manövrierzwecken gebraucht oder entgegen Abs. 5 Satz 1 nicht dafür sorgt, daß ständig Ankerwache gegangen wird,</w:t>
      </w:r>
    </w:p>
    <w:p>
      <w:pPr>
        <w:ind w:left="420"/>
      </w:pPr>
      <w:r>
        <w:t xml:space="preserve">12. entgegen Artikel 24 Abs. 1 beim Anlegen oder Festmachen die Schiffahrt beeinträchtigt oder nicht mit der gebotenen Vorsicht navigiert, wenn ein Fahrzeug mit dem Anlegemanöver begonnen hat, oder entgegen Abs. 2 anlegt oder festmacht,</w:t>
      </w:r>
    </w:p>
    <w:p>
      <w:pPr>
        <w:ind w:left="420"/>
      </w:pPr>
      <w:r>
        <w:t xml:space="preserve">13. einer Vorschrift des Artikels 25 Abs. 1 bis 4 über den Umschlag oder des Artikels 26 über das Ankern, das Anlegen, das Festmachen oder das Vorbeifahren von oder an Fahrzeugen, die bestimmte gefährliche Güter befördern, zuwiderhandelt,</w:t>
      </w:r>
    </w:p>
    <w:p>
      <w:pPr>
        <w:ind w:left="420"/>
      </w:pPr>
      <w:r>
        <w:t xml:space="preserve">14. einer Vorschrift des Artikels 27 über das Verhalten bei Schiffsunfällen oder bei Verlust von Gegenständen zuwiderhandelt oder</w:t>
      </w:r>
    </w:p>
    <w:p>
      <w:pPr>
        <w:ind w:left="420"/>
      </w:pPr>
      <w:r>
        <w:t xml:space="preserve">15. entgegen Artikel 28 Abs. 1 Nr. 1 bis 4 eine dort beschriebene Tätigkeit ohne schiffahrtspolizeiliche Genehmigung durchführt oder entgegen Abs. 3 einer mit einer solchen Genehmigung verbundenen vollziehbaren Auflage nicht nachkommt.</w:t>
      </w:r>
    </w:p>
    <w:p>
      <w:r>
        <w:t xml:space="preserve">(2) Ordnungswidrig im Sinne des § 15 Abs. 1 Nr. 2 des Seeaufgabengesetzes handelt, wer vorsätzlich oder fahrlässig</w:t>
      </w:r>
    </w:p>
    <w:p>
      <w:pPr>
        <w:ind w:left="420"/>
      </w:pPr>
      <w:r>
        <w:t xml:space="preserve">1. entgegen Artikel 2 Abs. 3 ein Schiffahrtszeichen beschädigt oder in seiner Erkennbarkeit beeinträchtigt,</w:t>
      </w:r>
    </w:p>
    <w:p>
      <w:pPr>
        <w:ind w:left="420"/>
      </w:pPr>
      <w:r>
        <w:t xml:space="preserve">2. entgegen Artikel 3 Abs. 2 Satz 2 für eine sachgemäße Instandsetzung der Schallsignale nicht oder nicht rechtzeitig sorgt,</w:t>
      </w:r>
    </w:p>
    <w:p>
      <w:pPr>
        <w:ind w:left="420"/>
      </w:pPr>
      <w:r>
        <w:t xml:space="preserve">3. entgegen Artikel 13 Abs. 2 Satz 5 das Bleib-Weg-Signal nicht oder nicht in der in Satz 1 bis 4 vorgeschriebenen Weise gibt,</w:t>
      </w:r>
    </w:p>
    <w:p>
      <w:pPr>
        <w:ind w:left="420"/>
      </w:pPr>
      <w:r>
        <w:t xml:space="preserve">4. als Wasserskiläufer einer Vorschrift des Artikels 22 Abs. 1, 2 oder 4 über den Wasserski oder als Segelsurfer einer Vorschrift des Abs. 3 oder 4 über das Segelsurfen zuwiderhandelt,</w:t>
      </w:r>
    </w:p>
    <w:p>
      <w:pPr>
        <w:ind w:left="420"/>
      </w:pPr>
      <w:r>
        <w:t xml:space="preserve">5. als Veranstalter entgegen Artikel 28 Abs. 1 Nr. 5 oder 6 eine Veranstaltung ohne schiffahrtspolizeiliche Genehmigung durchführt oder entgegen Abs. 3 einer mit einer solchen Genehmigung verbundenen vollziehbaren Auflage nicht nachkommt oder</w:t>
      </w:r>
    </w:p>
    <w:p>
      <w:pPr>
        <w:ind w:left="420"/>
      </w:pPr>
      <w:r>
        <w:t xml:space="preserve">6. entgegen Artikel 29 eine Meldung nicht, nicht richtig, nicht vollständig, nicht rechtzeitig oder nicht in der vorgeschriebenen Form abgibt.</w:t>
      </w:r>
    </w:p>
    <w:p>
      <w:r>
        <w:t xml:space="preserve">(3) Die Zuständigkeit für die Verfolgung und Ahndung von Ordnungswidrigkeiten</w:t>
      </w:r>
    </w:p>
    <w:p>
      <w:pPr>
        <w:ind w:left="420"/>
      </w:pPr>
      <w:r>
        <w:t xml:space="preserve">1. auf Grund einer nach § 13 Abs. 2 und 3 erlassenen Rechtsverordnung,</w:t>
      </w:r>
    </w:p>
    <w:p>
      <w:pPr>
        <w:ind w:left="420"/>
      </w:pPr>
      <w:r>
        <w:t xml:space="preserve">2. nach den §§ 14 und 15 Abs. 1 und 2</w:t>
      </w:r>
    </w:p>
    <w:p>
      <w:r>
        <w:t xml:space="preserve">wird auf die Generaldirektion Wasserstraßen und Schifffahrt übertragen.</w:t>
      </w:r>
    </w:p>
    <w:p>
      <w:r>
        <w:rPr>
          <w:color w:val="555555"/>
          <w:sz w:val="17"/>
        </w:rPr>
        <w:t xml:space="preserve">Zitiervorschlag: § 15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EmsSchEV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