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EmsSchEV — Befreiung</w:t>
      </w:r>
    </w:p>
    <w:p>
      <w:r>
        <w:rPr>
          <w:color w:val="555555"/>
          <w:sz w:val="18"/>
        </w:rPr>
        <w:t xml:space="preserve">Verordnung zur Einführung der Schiffahrtsordnung Emsmündung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Strom- und Schiffahrtspolizeibehörden können von den Vorschriften dieser Verordnung und denen der Schiffahrtsordnung Emsmündung im Einzelfall befreien.</w:t>
      </w:r>
    </w:p>
    <w:p>
      <w:r>
        <w:rPr>
          <w:color w:val="555555"/>
          <w:sz w:val="17"/>
        </w:rPr>
        <w:t xml:space="preserve">Zitiervorschlag: § 12 EmsSchEV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https://recht.nulegal.eu/gesetze/EmsSchEV/12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