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EmsLotsV 2003</w:t>
      </w:r>
    </w:p>
    <w:p>
      <w:r>
        <w:rPr>
          <w:color w:val="555555"/>
          <w:sz w:val="18"/>
        </w:rPr>
        <w:t xml:space="preserve">Ems-Lotsverordnung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Abs. 1 Nr. 3, 4 und 5 in Verbindung mit § 12 des Seelotsgesetzes in der Fassung der Bekanntmachung vom 13. September 1984 (BGBl. I S. 1213) in Verbindung mit § 4 der Allgemeinen Lotsverordnung vom 21. April 1987 (BGBl. I S. 1290), von denen § 5 Abs. 1 des Seelotsgesetzes zuletzt durch Artikel 282 Nr. 1 der Verordnung vom 29. Oktober 2001 (BGBl. I S. 2785) geändert worden ist, verordnet die Wasser- und Schifffahrtsdirektion Nordwest nach Anhörung der Küstenländer und der Bundeslotsenkammer:</w:t>
      </w:r>
    </w:p>
    <w:p>
      <w:r>
        <w:rPr>
          <w:color w:val="555555"/>
          <w:sz w:val="17"/>
        </w:rPr>
        <w:t xml:space="preserve">Zitiervorschlag: Eingangsformel EmsLotsV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https://recht.nulegal.eu/gesetze/EmsLotsV%202003/eingangsformel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