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EmsLotsV 2003 — Ausnahmen von der Lotsenannahmepflicht</w:t>
      </w:r>
    </w:p>
    <w:p>
      <w:r>
        <w:rPr>
          <w:color w:val="555555"/>
          <w:sz w:val="18"/>
        </w:rPr>
        <w:t xml:space="preserve">Ems-Lotsverordnung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der Lotsenannahmepflicht ausgenommen sind die Führer von Dienstschiffen des Bundes und der Häfen- und Schifffahrtsverwaltungen der Länder sowie Führer von Tankschiffen mit einer Länge bis einschließlich 60 m und einer Breite bis einschließlich 10 m im Verkehr zwischen Emden und Delfzijl oder Eemshaven und Delfzijl oder Eemshaven und Emden.</w:t>
      </w:r>
    </w:p>
    <w:p>
      <w:r>
        <w:rPr>
          <w:color w:val="555555"/>
          <w:sz w:val="17"/>
        </w:rPr>
        <w:t xml:space="preserve">Zitiervorschlag: § 7 EmsLotsV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https://recht.nulegal.eu/gesetze/EmsLotsV%202003/7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