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EmsLotsV 2003 — Lotsenstationen, Lotsenwechsel</w:t>
      </w:r>
    </w:p>
    <w:p>
      <w:r>
        <w:rPr>
          <w:color w:val="555555"/>
          <w:sz w:val="18"/>
        </w:rPr>
        <w:t xml:space="preserve">Ems-Lotsverordnung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dem Seelotsrevier Ems bestehen Lotsenstationen in Emden und auf Borkum.</w:t>
      </w:r>
    </w:p>
    <w:p>
      <w:r>
        <w:t xml:space="preserve">(2) Der Lotsenwechsel zwischen den Seelotsen für die Fahrtstrecken seewärts Emden und den Seelotsen für die Fahrtstrecken nach den emsaufwärts gelegenen Seehäfen erfolgt im Bereich Emden-Reede.</w:t>
      </w:r>
    </w:p>
    <w:p>
      <w:r>
        <w:rPr>
          <w:color w:val="555555"/>
          <w:sz w:val="17"/>
        </w:rPr>
        <w:t xml:space="preserve">Zitiervorschlag: § 3 EmsLotsV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https://recht.nulegal.eu/gesetze/EmsLotsV%202003/3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