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EmsLotsV 2003 — Ordnungswidrigkeiten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47 Abs. 1 Nr. 7 des Seelotsgesetzes handelt, wer vorsätzlich oder fahrlässig</w:t>
      </w:r>
    </w:p>
    <w:p>
      <w:pPr>
        <w:ind w:left="420"/>
      </w:pPr>
      <w:r>
        <w:t xml:space="preserve">1. als Schiffsführer entgegen § 5 Abs. 1 keinen Seelotsen anfordert,</w:t>
      </w:r>
    </w:p>
    <w:p>
      <w:pPr>
        <w:ind w:left="420"/>
      </w:pPr>
      <w:r>
        <w:t xml:space="preserve">2. einer Vorschrift des § 5 Abs. 4 über die Unterstützung des Seelotsen beim Versetzen oder Ausholen während der Fahrt zuwiderhandelt,</w:t>
      </w:r>
    </w:p>
    <w:p>
      <w:pPr>
        <w:ind w:left="420"/>
      </w:pPr>
      <w:r>
        <w:t xml:space="preserve">3. als Schiffsführer entgegen § 6 Abs. 1 und 2 keinen Lotsen annimmt,</w:t>
      </w:r>
    </w:p>
    <w:p>
      <w:pPr>
        <w:ind w:left="420"/>
      </w:pPr>
      <w:r>
        <w:t xml:space="preserve">4. als Schiffsführer entgegen § 13 Abs. 1 und 2 keine Landradarberatung in Anspruch nimmt,</w:t>
      </w:r>
    </w:p>
    <w:p>
      <w:pPr>
        <w:ind w:left="420"/>
      </w:pPr>
      <w:r>
        <w:t xml:space="preserve">5. der Vorschrift des § 13 Abs. 4 Satz 2 über die Umgehung der Lotsenannahmepflicht zuwiderhandelt oder</w:t>
      </w:r>
    </w:p>
    <w:p>
      <w:pPr>
        <w:ind w:left="420"/>
      </w:pPr>
      <w:r>
        <w:t xml:space="preserve">6. als Seelotse entgegen § 15 oder § 16 lotst.</w:t>
      </w:r>
    </w:p>
    <w:p>
      <w:r>
        <w:rPr>
          <w:color w:val="555555"/>
          <w:sz w:val="17"/>
        </w:rPr>
        <w:t xml:space="preserve">Zitiervorschlag: § 17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