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EmsLotsV 2003 — Lotsentätigkeit nach der ersten Bestallung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seiner ersten Bestallung darf ein Seelotse während einer Übergangszeit nur Schiffe bestimmter Größe lotsen, und zwar</w:t>
      </w:r>
    </w:p>
    <w:p>
      <w:pPr>
        <w:ind w:left="420"/>
      </w:pPr>
      <w:r>
        <w:t xml:space="preserve">1. im ersten halben Jahr Schiffe mit einer Länge von bis zu 120 Metern und einer Breite von bis zu 20 Metern,</w:t>
      </w:r>
    </w:p>
    <w:p>
      <w:pPr>
        <w:ind w:left="420"/>
      </w:pPr>
      <w:r>
        <w:t xml:space="preserve">2. im zweiten halben Jahr Schiffe mit einer Länge bis zu 140 Metern und einer Breite von bis zu 24 Metern,</w:t>
      </w:r>
    </w:p>
    <w:p>
      <w:pPr>
        <w:ind w:left="420"/>
      </w:pPr>
      <w:r>
        <w:t xml:space="preserve">3. im darauffolgenden Jahr Schiffe mit einer Länge bis zu 180 Metern und einer Breite bis zu 28 Metern und einem Tiefgang bis zu 9 Metern.</w:t>
      </w:r>
    </w:p>
    <w:p>
      <w:r>
        <w:t xml:space="preserve">(2) Hinsichtlich der Länge und Breite eines Schiffes kann nach Maßgabe des § 1 Abs. 8 interpoliert werden. Für die in Absatz 1 Nr. 1 bis 3 aufgeführten Parameter gelten folgende Obergrenzen:</w:t>
      </w:r>
    </w:p>
    <w:p>
      <w:pPr>
        <w:ind w:left="420"/>
      </w:pPr>
      <w:r>
        <w:t xml:space="preserve">1. der jeweils aufgeführte Längenwert zuzüglich höchstens 5,00 m und</w:t>
      </w:r>
    </w:p>
    <w:p>
      <w:pPr>
        <w:ind w:left="420"/>
      </w:pPr>
      <w:r>
        <w:t xml:space="preserve">2. der jeweils aufgeführte Breitenwert zuzüglich höchstens 0,50 m.</w:t>
      </w:r>
    </w:p>
    <w:p>
      <w:r>
        <w:rPr>
          <w:color w:val="555555"/>
          <w:sz w:val="17"/>
        </w:rPr>
        <w:t xml:space="preserve">Zitiervorschlag: § 15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