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EmsLotsV 2003 — Anordnung zur Annahme von Seelotsen zur Abwehr einer Gefahr/Widerruf von Befreiungen</w:t>
      </w:r>
    </w:p>
    <w:p>
      <w:r>
        <w:rPr>
          <w:color w:val="555555"/>
          <w:sz w:val="18"/>
        </w:rPr>
        <w:t xml:space="preserve">Ems-Lotsverordnung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Schifffahrtspolizeibehörde kann über die Vorschriften der §§ 6 und 13 hinaus aus schifffahrtspolizeilichen Gründen die Annahme eines oder mehrerer Lotsen oder eine Landradarberatung durch Lotsen anordnen.</w:t>
      </w:r>
    </w:p>
    <w:p>
      <w:r>
        <w:t xml:space="preserve">(2) Die Schifffahrtspolizeibehörde kann bei wiederholten Verstößen oder einem erheblichen Verstoß gegen die Verkehrsvorschriften die Befreiungen nach dieser Lotsverordnung widerrufen.</w:t>
      </w:r>
    </w:p>
    <w:p>
      <w:r>
        <w:rPr>
          <w:color w:val="555555"/>
          <w:sz w:val="17"/>
        </w:rPr>
        <w:t xml:space="preserve">Zitiervorschlag: § 14 EmsLotsV 2003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https://recht.nulegal.eu/gesetze/EmsLotsV%202003/14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