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EmoG — Berichterstattung</w:t>
      </w:r>
    </w:p>
    <w:p>
      <w:r>
        <w:rPr>
          <w:color w:val="555555"/>
          <w:sz w:val="18"/>
        </w:rPr>
        <w:t xml:space="preserve">Elektromobilitätsgesetz</w:t>
      </w:r>
    </w:p>
    <w:p>
      <w:r>
        <w:rPr>
          <w:color w:val="555555"/>
          <w:sz w:val="18"/>
        </w:rPr>
        <w:t xml:space="preserve">Stand: 04.07.2020 (konsolidierte Textfassung, kein amtliches Inkrafttretensdatum)</w:t>
      </w:r>
    </w:p>
    <w:p>
      <w:r>
        <w:t xml:space="preserve">Das Bundesministerium für Verkehr und digitale Infrastruktur und das Bundesministerium für Umwelt, Naturschutz und nukleare Sicherheit veröffentlichen gemeinsam alle drei Jahre, erstmals bis zum 1. Juli 2018, einen Bericht über die Beschaffenheit, die Ausrüstung und den Betrieb elektrisch betriebener Fahrzeuge im Sinne des § 2 Nummer 1, über das Ladeverhalten solcher Fahrzeuge und über die Entwicklung der Ladeinfrastruktur, um Erkenntnisse hinsichtlich der weiteren Verringerung der klima-und umweltschädlichen Auswirkungen des motorisierten Individualverkehrs, insbesondere der Fortschreibung der Umweltkriterien nach § 3 Absatz 2 Nummer 2, zu gewinnen.</w:t>
      </w:r>
    </w:p>
    <w:p>
      <w:r>
        <w:rPr>
          <w:color w:val="555555"/>
          <w:sz w:val="17"/>
        </w:rPr>
        <w:t xml:space="preserve">Zitiervorschlag: § 7 EmoG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https://recht.nulegal.eu/gesetze/EmoG/7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