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EmoG — Übergangsregelung</w:t>
      </w:r>
    </w:p>
    <w:p>
      <w:r>
        <w:rPr>
          <w:color w:val="555555"/>
          <w:sz w:val="18"/>
        </w:rPr>
        <w:t xml:space="preserve">Elektromobilitätsgesetz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Bis zum 1. Januar 2016 tritt an die Stelle des Artikels 38 der Verordnung (EU) Nr. 168/2013 der Artikel 7 der Richtlinie 2002/24/EG des Europäischen Parlaments und des Rates vom 18. März 2002 über die Typgenehmigung für zweirädrige oder dreirädrige Kraftfahrzeuge und zur Aufhebung der Richtlinie 92/61/EWG des Rates (ABl. L 124 vom 9.5.2002, S. 1), die zuletzt durch die Richtlinie 2013/60/EU (ABl. L 329 vom 10.12.2013, S. 15) geändert worden ist.</w:t>
      </w:r>
    </w:p>
    <w:p>
      <w:r>
        <w:t xml:space="preserve">(2) Abweichend von § 3 Absatz 2 Nummer 2 beträgt bis zum Ablauf des 31. Dezember 2017 die erforderliche Reichweite mindestens 30 Kilometer.</w:t>
      </w:r>
    </w:p>
    <w:p>
      <w:r>
        <w:t xml:space="preserve">(3) Fahrzeugen, die die Anforderung des Absatzes 2 erfüllen, dürfen auch nach dem 31. Dezember 2017 die Bevorrechtigungen gewährt werden, die Fahrzeugen nach § 3 Absatz 2 gewährt werden können.</w:t>
      </w:r>
    </w:p>
    <w:p>
      <w:r>
        <w:rPr>
          <w:color w:val="555555"/>
          <w:sz w:val="17"/>
        </w:rPr>
        <w:t xml:space="preserve">Zitiervorschlag: § 5 EmoG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https://recht.nulegal.eu/gesetze/EmoG/5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