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EmoG — Kennzeichnung</w:t>
      </w:r>
    </w:p>
    <w:p>
      <w:r>
        <w:rPr>
          <w:color w:val="555555"/>
          <w:sz w:val="18"/>
        </w:rPr>
        <w:t xml:space="preserve">Elektromobilitätsgesetz</w:t>
      </w:r>
    </w:p>
    <w:p>
      <w:r>
        <w:rPr>
          <w:color w:val="555555"/>
          <w:sz w:val="18"/>
        </w:rPr>
        <w:t xml:space="preserve">Stand: 30.07.2021 (konsolidierte Textfassung, kein amtliches Inkrafttretensdatum)</w:t>
      </w:r>
    </w:p>
    <w:p>
      <w:r>
        <w:t xml:space="preserve">(1) Bevorrechtigungen nach § 3 dürfen nur für Fahrzeuge gewährt werden, die mit einer deutlich sichtbaren Kennzeichnung versehen sind.</w:t>
      </w:r>
    </w:p>
    <w:p>
      <w:r>
        <w:t xml:space="preserve">(2) In Rechtsverordnungen nach § 6 Absatz 1 Satz 1 Nummer 6 oder 11 des Straßenverkehrsgesetzes können die Art und Weise der Kennzeichnung im Sinne des Absatzes 1 näher bestimmt werden, insbesondere können</w:t>
      </w:r>
    </w:p>
    <w:p>
      <w:pPr>
        <w:ind w:left="420"/>
      </w:pPr>
      <w:r>
        <w:t xml:space="preserve">1. die für das Erteilen der Kennzeichnung erforderlichen Angaben,</w:t>
      </w:r>
    </w:p>
    <w:p>
      <w:pPr>
        <w:ind w:left="420"/>
      </w:pPr>
      <w:r>
        <w:t xml:space="preserve">2. die Art und Weise der Anbringung der Kennzeichnung und</w:t>
      </w:r>
    </w:p>
    <w:p>
      <w:pPr>
        <w:ind w:left="420"/>
      </w:pPr>
      <w:r>
        <w:t xml:space="preserve">3. das Verfahren für das Erteilen der Kennzeichnung</w:t>
      </w:r>
    </w:p>
    <w:p>
      <w:r>
        <w:t xml:space="preserve">geregelt werden. In Rechtsverordnungen nach Satz 1 kann die Kennzeichnung im Inland gehaltener Fahrzeuge durch das Zuteilen eines für den Betrieb des Fahrzeuges auf öffentlichen Straßen erforderlichen Kennzeichens geregelt werden. Rechtsverordnungen mit Regelungen nach Satz 1 erlässt das Bundesministerium für Verkehr und digitale Infrastruktur gemeinsam mit dem Bundesministerium für Umwelt, Naturschutz und nukleare Sicherheit. § 6 Absatz 7 des Straßenverkehrsgesetzes ist auf Rechtsverordnungen mit Regelungen nach Satz 1 nicht anzuwenden.</w:t>
      </w:r>
    </w:p>
    <w:p>
      <w:r>
        <w:t xml:space="preserve">(3) Für individuell zurechenbare öffentliche Leistungen nach Absatz 1 in Verbindung mit Rechtsverordnungen nach Absatz 2 werden Gebühren und Auslagen erhoben. § 6a Absatz 2 bis 5 und 8 des Straßenverkehrsgesetzes gilt entsprechend.</w:t>
      </w:r>
    </w:p>
    <w:p>
      <w:r>
        <w:rPr>
          <w:color w:val="555555"/>
          <w:sz w:val="17"/>
        </w:rPr>
        <w:t xml:space="preserve">Zitiervorschlag: § 4 EmoG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https://recht.nulegal.eu/gesetze/EmoG/4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