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EmoG — Bevorrechtigungen</w:t>
      </w:r>
    </w:p>
    <w:p>
      <w:r>
        <w:rPr>
          <w:color w:val="555555"/>
          <w:sz w:val="18"/>
        </w:rPr>
        <w:t xml:space="preserve">Elektromobilitätsgesetz</w:t>
      </w:r>
    </w:p>
    <w:p>
      <w:r>
        <w:rPr>
          <w:color w:val="555555"/>
          <w:sz w:val="18"/>
        </w:rPr>
        <w:t xml:space="preserve">Stand: 30.07.2021 (konsolidierte Textfassung, kein amtliches Inkrafttretensdatum)</w:t>
      </w:r>
    </w:p>
    <w:p>
      <w:r>
        <w:t xml:space="preserve">(1) Wer ein Fahrzeug im Sinne des § 2 führt, kann nach Maßgabe der folgenden Vorschriften Bevorrechtigungen bei der Teilnahme am Straßenverkehr erhalten, soweit dadurch die Sicherheit und Leichtigkeit des Verkehrs nicht beeinträchtigt werden.</w:t>
      </w:r>
    </w:p>
    <w:p>
      <w:r>
        <w:t xml:space="preserve">(2) Im Falle eines von außen aufladbaren Hybridelektrofahrzeuges dürfen Bevorrechtigungen nur für ein Fahrzeug in Anspruch genommen werden, wenn sich aus der Übereinstimmungsbescheinigung nach Anhang IX der Richtlinie 2007/46/EG oder aus der Übereinstimmungsbescheinigung nach Artikel 38 der Verordnung (EU) Nr. 168/2013 ergibt, dass das Fahrzeug</w:t>
      </w:r>
    </w:p>
    <w:p>
      <w:pPr>
        <w:ind w:left="420"/>
      </w:pPr>
      <w:r>
        <w:t xml:space="preserve">1. eine Kohlendioxidemission von höchstens 50 Gramm je gefahrenen Kilometer hat oder</w:t>
      </w:r>
    </w:p>
    <w:p>
      <w:pPr>
        <w:ind w:left="420"/>
      </w:pPr>
      <w:r>
        <w:t xml:space="preserve">2. dessen Reichweite unter ausschließlicher Nutzung der elektrischen Antriebsmaschine mindestens 40 Kilometer beträgt.</w:t>
      </w:r>
    </w:p>
    <w:p>
      <w:r>
        <w:t xml:space="preserve">(3) Kann das Vorliegen der Anforderungen des Absatzes 2 nicht über die Übereinstimmungsbescheinigung nachgewiesen werden oder gibt es für ein Fahrzeug keine Übereinstimmungsbescheinigung, kann der Nachweis auch in anderer geeigneter Weise erbracht werden.</w:t>
      </w:r>
    </w:p>
    <w:p>
      <w:r>
        <w:t xml:space="preserve">(4) Bevorrechtigungen sind möglich</w:t>
      </w:r>
    </w:p>
    <w:p>
      <w:pPr>
        <w:ind w:left="420"/>
      </w:pPr>
      <w:r>
        <w:t xml:space="preserve">1. für das Parken auf öffentlichen Straßen oder Wegen,</w:t>
      </w:r>
    </w:p>
    <w:p>
      <w:pPr>
        <w:ind w:left="420"/>
      </w:pPr>
      <w:r>
        <w:t xml:space="preserve">2. bei der Nutzung von für besondere Zwecke bestimmten öffentlichen Straßen oder Wegen oder Teilen von diesen,</w:t>
      </w:r>
    </w:p>
    <w:p>
      <w:pPr>
        <w:ind w:left="420"/>
      </w:pPr>
      <w:r>
        <w:t xml:space="preserve">3. durch das Zulassen von Ausnahmen von Zufahrtbeschränkungen oder Durchfahrtverboten,</w:t>
      </w:r>
    </w:p>
    <w:p>
      <w:pPr>
        <w:ind w:left="420"/>
      </w:pPr>
      <w:r>
        <w:t xml:space="preserve">4. im Hinblick auf das Erheben von Gebühren für das Parken auf öffentlichen Straßen oder Wegen.</w:t>
      </w:r>
    </w:p>
    <w:p>
      <w:r>
        <w:t xml:space="preserve">(5) In Rechtsverordnungen nach § 6 Absatz 1, auch in Verbindung mit Absatz 3, des Straßenverkehrsgesetzes können</w:t>
      </w:r>
    </w:p>
    <w:p>
      <w:pPr>
        <w:ind w:left="420"/>
      </w:pPr>
      <w:r>
        <w:t xml:space="preserve">1. die Bevorrechtigungen näher bestimmt werden,</w:t>
      </w:r>
    </w:p>
    <w:p>
      <w:pPr>
        <w:ind w:left="420"/>
      </w:pPr>
      <w:r>
        <w:t xml:space="preserve">2. die Einzelheiten der Anforderungen an deren Inanspruchnahme festgelegt werden,</w:t>
      </w:r>
    </w:p>
    <w:p>
      <w:pPr>
        <w:ind w:left="420"/>
      </w:pPr>
      <w:r>
        <w:t xml:space="preserve">3. die erforderlichen straßenverkehrsrechtlichen Anordnungen, insbesondere Verkehrszeichen und Verkehrseinrichtungen, bestimmt werden.</w:t>
      </w:r>
    </w:p>
    <w:p>
      <w:r>
        <w:t xml:space="preserve">Rechtsverordnungen mit Regelungen nach Satz 1 erlässt das Bundesministerium für Verkehr und digitale Infrastruktur gemeinsam mit dem Bundesministerium für Umwelt, Naturschutz und nukleare Sicherheit. § 6 Absatz 7 des Straßenverkehrsgesetzes ist auf eine Rechtsverordnung mit Regelungen nach Satz 1 nicht anzuwenden.</w:t>
      </w:r>
    </w:p>
    <w:p>
      <w:r>
        <w:t xml:space="preserve">(6) In Rechtsverordnungen nach § 6a Absatz 6 Satz 2, auch in Verbindung mit Satz 4, des Straßenverkehrsgesetzes können als Bevorrechtigungen Ermäßigungen der Gebühren oder Befreiungen von der Gebührenpflicht vorgesehen werden.</w:t>
      </w:r>
    </w:p>
    <w:p>
      <w:r>
        <w:rPr>
          <w:color w:val="555555"/>
          <w:sz w:val="17"/>
        </w:rPr>
        <w:t xml:space="preserve">Zitiervorschlag: § 3 EmoG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https://recht.nulegal.eu/gesetze/EmoG/3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