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EmoG — Anwendungsbereich</w:t>
      </w:r>
    </w:p>
    <w:p>
      <w:r>
        <w:rPr>
          <w:color w:val="555555"/>
          <w:sz w:val="18"/>
        </w:rPr>
        <w:t xml:space="preserve">Elektromobilitätsgesetz</w:t>
      </w:r>
    </w:p>
    <w:p>
      <w:r>
        <w:rPr>
          <w:color w:val="555555"/>
          <w:sz w:val="18"/>
        </w:rPr>
        <w:t xml:space="preserve">Stand: 10.06.2019 (konsolidierte Textfassung, kein amtliches Inkrafttretensdatum)</w:t>
      </w:r>
    </w:p>
    <w:p>
      <w:r>
        <w:t xml:space="preserve">Mit diesem Gesetz werden Maßnahmen zur Bevorrechtigung der Teilnahme elektrisch betriebener Fahrzeuge</w:t>
      </w:r>
    </w:p>
    <w:p>
      <w:pPr>
        <w:ind w:left="420"/>
      </w:pPr>
      <w:r>
        <w:t xml:space="preserve">1. der Klassen M1 und N1 im Sinne des Anhangs II Teil A der Richtlinie 2007/46/EG des Europäischen Parlaments und des Rates vom 5. September 2007 zur Schaffung eines Rahmens für die Genehmigung von Kraftfahrzeugen und Kraftfahrzeuganhängern sowie von Systemen, Bauteilen und selbstständigen technischen Einheiten für diese Fahrzeuge (ABl. L 263 vom 9.10.2007, S. 1), die zuletzt durch die Richtlinie 2013/15/EU (ABl. L 158 vom 10.6.2013, S. 172) geändert worden ist, und</w:t>
      </w:r>
    </w:p>
    <w:p>
      <w:pPr>
        <w:ind w:left="420"/>
      </w:pPr>
      <w:r>
        <w:t xml:space="preserve">2. der Klassen L3e, L4e, L5e und L7e im Sinne des Anhangs I der Verordnung (EU) Nr. 168/2013 des Europäischen Parlaments und des Rates vom 15. Januar 2013 über die Genehmigung und Marktüberwachung von zwei- oder dreirädrigen und vierrädrigen Fahrzeugen (ABl. L 60 vom 2.3.2013, S. 52)</w:t>
      </w:r>
    </w:p>
    <w:p>
      <w:r>
        <w:t xml:space="preserve">am Straßenverkehr ermöglicht, um deren Verwendung zur Verringerung insbesondere klima- und umweltschädlicher Auswirkungen des motorisierten Individualverkehrs zu fördern. Satz 1 gilt auch für ein elektrisch betriebenes Fahrzeug der Klasse N2 im Sinne des Anhangs II Teil A der Richtlinie 2007/46/EG, soweit es im Inland mit der Fahrerlaubnis der Klasse B geführt werden darf.</w:t>
      </w:r>
    </w:p>
    <w:p>
      <w:r>
        <w:rPr>
          <w:color w:val="555555"/>
          <w:sz w:val="17"/>
        </w:rPr>
        <w:t xml:space="preserve">Zitiervorschlag: § 1 EmoG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https://recht.nulegal.eu/gesetze/EmoG/1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