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EltSV</w:t>
      </w:r>
    </w:p>
    <w:p>
      <w:r>
        <w:rPr>
          <w:color w:val="555555"/>
          <w:sz w:val="18"/>
        </w:rPr>
        <w:t xml:space="preserve">Elektrizitätssicherungsverordnung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Sie darf erst dann angewandt werden, wenn die Bundesregierung</w:t>
      </w:r>
    </w:p>
    <w:p>
      <w:pPr>
        <w:ind w:left="420"/>
      </w:pPr>
      <w:r>
        <w:t xml:space="preserve">1. durch Verordnung festgestellt hat, daß die Energieversorgung im Sinne des § 1 Abs. 1 oder des § 2 Abs. 3 des Energiesicherungsgesetzes 1975 gefährdet oder gestört ist, und</w:t>
      </w:r>
    </w:p>
    <w:p>
      <w:pPr>
        <w:ind w:left="420"/>
      </w:pPr>
      <w:r>
        <w:t xml:space="preserve">2. die Anwendbarkeit durch Verordnung bestimmt.</w:t>
      </w:r>
    </w:p>
    <w:p>
      <w:r>
        <w:rPr>
          <w:color w:val="555555"/>
          <w:sz w:val="17"/>
        </w:rPr>
        <w:t xml:space="preserve">Zitiervorschlag: § 6 EltSV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