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EltSV</w:t>
      </w:r>
    </w:p>
    <w:p>
      <w:r>
        <w:rPr>
          <w:color w:val="555555"/>
          <w:sz w:val="18"/>
        </w:rPr>
        <w:t xml:space="preserve">Elektrizitätssicherungsverordnung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15 Abs. 1 Nr. 1 des Energiesicherungsgesetzes 1975 handelt, wer vorsätzlich oder fahrlässig</w:t>
      </w:r>
    </w:p>
    <w:p>
      <w:pPr>
        <w:ind w:left="420"/>
      </w:pPr>
      <w:r>
        <w:t xml:space="preserve">1. einer vollziehbaren Verfügung nach § 1 Abs. 1 zuwiderhandelt oder</w:t>
      </w:r>
    </w:p>
    <w:p>
      <w:pPr>
        <w:ind w:left="420"/>
      </w:pPr>
      <w:r>
        <w:t xml:space="preserve">2. eine Meldung nach § 2 nicht richtig, nicht vollständig oder nicht rechtzeitig erstattet.</w:t>
      </w:r>
    </w:p>
    <w:p>
      <w:r>
        <w:rPr>
          <w:color w:val="555555"/>
          <w:sz w:val="17"/>
        </w:rPr>
        <w:t xml:space="preserve">Zitiervorschlag: § 3 EltSV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