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EltLastV</w:t>
      </w:r>
    </w:p>
    <w:p>
      <w:r>
        <w:rPr>
          <w:color w:val="555555"/>
          <w:sz w:val="18"/>
        </w:rPr>
        <w:t xml:space="preserve">Elektrizitätslastverteilungs-Verordnung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Grenzen der Gebietslastverteilung ergeben sich aus der Anlage zu dieser Verordnung. Die Befugnis, diese Grenzen durch Rechtsverordnung zu ändern, wird auf das Bundesministerium für Wirtschaft und Energie übertragen.</w:t>
      </w:r>
    </w:p>
    <w:p>
      <w:r>
        <w:t xml:space="preserve">(2) Die Grenzen der Gruppen-, Bezirks- und Bereichslastverteilung bestimmen sich nach Landesrecht.</w:t>
      </w:r>
    </w:p>
    <w:p>
      <w:r>
        <w:rPr>
          <w:color w:val="555555"/>
          <w:sz w:val="17"/>
        </w:rPr>
        <w:t xml:space="preserve">Zitiervorschlag: § 4 EltLastV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https://recht.nulegal.eu/gesetze/EltLastV/4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