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Lastverteilung obliegt</w:t>
      </w:r>
    </w:p>
    <w:p>
      <w:pPr>
        <w:ind w:left="420"/>
      </w:pPr>
      <w:r>
        <w:t xml:space="preserve">1. den obersten Wirtschaftsbehörden der Länder als Gebietslastverteilern; durch Landesrecht können höheren und unteren Verwaltungsbehörden sowie den Gemeinden als Gruppen-, Bezirks- und Bereichslastverteilern Aufgaben der Lastverteilung übertragen werden;</w:t>
      </w:r>
    </w:p>
    <w:p>
      <w:pPr>
        <w:ind w:left="420"/>
      </w:pPr>
      <w:r>
        <w:t xml:space="preserve">2. dem Bundesministerium für Wirtschaft und Energie als Bundeslastverteiler.</w:t>
      </w:r>
    </w:p>
    <w:p>
      <w:r>
        <w:rPr>
          <w:color w:val="555555"/>
          <w:sz w:val="17"/>
        </w:rPr>
        <w:t xml:space="preserve">Zitiervorschlag: § 2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