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Sie darf gemäß § 2 Abs. 1 des Wirtschaftssicherstellungsgesetzes nur nach Maßgabe des Artikels 80a des Grundgesetzes und erst dann angewandt werden, wenn es das Bundesministerium für Wirtschaft und Energie durch Rechtsverordnung bestimmt.</w:t>
      </w:r>
    </w:p>
    <w:p>
      <w:r>
        <w:t xml:space="preserve">(3) Die §§ 2 und 4 sind mit dem Inkrafttreten anwendbar.</w:t>
      </w:r>
    </w:p>
    <w:p>
      <w:r>
        <w:rPr>
          <w:color w:val="555555"/>
          <w:sz w:val="17"/>
        </w:rPr>
        <w:t xml:space="preserve">Zitiervorschlag: § 11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