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EltBauV (Bayern) — Zusätzliche Anforderungen an Batterieräume</w:t>
      </w:r>
    </w:p>
    <w:p>
      <w:r>
        <w:rPr>
          <w:color w:val="555555"/>
          <w:sz w:val="18"/>
        </w:rPr>
        <w:t xml:space="preserve">Verordnung über den Bau von Betriebsräumen für elektrische Anlagen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Räume für Zentralbatterien müssen von Räumen mit erhöhter Brandgefahr feuerbeständig, von anderen Räumen mindestens feuerhemmend getrennt sein. Dies gilt auch für Batterieschränke. § 5 Abs. 4 gilt sinngemäß. Die Räume müssen frostfrei sein oder beheizt werden können. Öffnungen zur Durchführung von Kabeln sind mit nichtbrennbaren Baustoffen zu schließen.</w:t>
      </w:r>
    </w:p>
    <w:p>
      <w:r>
        <w:t xml:space="preserve">(2) Türen müssen nach außen aufschlagen, in feuerbeständigen Trennwänden mindestens feuerhemmend und selbstschließend sein und in allen anderen Fällen aus nichtbrennbaren Baustoffen bestehen.</w:t>
      </w:r>
    </w:p>
    <w:p>
      <w:r>
        <w:t xml:space="preserve">(3) Fußböden sowie Sockel für Batterien müssen gegen die Einwirkungen von Elektrolyten widerstandsfähig sein. An den Türen muß eine Schwelle vorhanden sein, die auslaufende Elektrolyten zurückhält.</w:t>
      </w:r>
    </w:p>
    <w:p>
      <w:r>
        <w:t xml:space="preserve">(4) Der Fußboden von Batterieräumen muß an allen Stellen für elektrostatische Ladungen einheitlich und ausreichend ableitfähig sein.</w:t>
      </w:r>
    </w:p>
    <w:p>
      <w:r>
        <w:t xml:space="preserve">(5) Lüftungsanlagen müssen gegen die Einwirkungen von Elektrolyten widerstandsfähig sein.</w:t>
      </w:r>
    </w:p>
    <w:p>
      <w:r>
        <w:t xml:space="preserve">(6) Das Rauchen und das Verwenden von offenem Feuer sind in den Batterieräumen verboten; hierauf ist durch Schilder an der Außenseite der Türen hinzuweisen.</w:t>
      </w:r>
    </w:p>
    <w:p>
      <w:r>
        <w:rPr>
          <w:color w:val="555555"/>
          <w:sz w:val="17"/>
        </w:rPr>
        <w:t xml:space="preserve">Zitiervorschlag: § 7 EltBauV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https://recht.nulegal.eu/gesetze/EltBauV/7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