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EltBauV (Bayern) — Allgemeine Anforderungen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Innerhalb von Gebäuden nach § 1 Abs. 1 müssen</w:t>
      </w:r>
    </w:p>
    <w:p>
      <w:r>
        <w:t xml:space="preserve">1. Transformatoren und Schaltanlagen für Nennspannungen über 1 kV, Transformatoren und Kondensatoren mit polychlorierten Biphenylen (PCB) und einer Leistung von mehr als 3 kVA,</w:t>
      </w:r>
    </w:p>
    <w:p>
      <w:r>
        <w:t xml:space="preserve">2. ortsfeste Stromerzeugungsaggregate und</w:t>
      </w:r>
    </w:p>
    <w:p>
      <w:r>
        <w:t xml:space="preserve">3. Zentralbatterien für Sicherheitsbeleuchtung</w:t>
      </w:r>
    </w:p>
    <w:p>
      <w:r>
        <w:t xml:space="preserve">in jeweils eigenen elektrischen Betriebsräumen untergebracht sein. Schaltanlagen für Sicherheitsbeleuchtung dürfen nicht in elektrischen Betriebsräumen mit Anlagen nach Satz 1 Nrn. 1 und 2 aufgestellt werden. Es kann verlangt werden, daß sie in eigenen elektrischen Betriebsräumen aufzustellen sind.</w:t>
      </w:r>
    </w:p>
    <w:p>
      <w:r>
        <w:rPr>
          <w:color w:val="555555"/>
          <w:sz w:val="17"/>
        </w:rPr>
        <w:t xml:space="preserve">Zitiervorschlag: § 3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