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EltBauV (Bayern) — Geltungsbereich</w:t>
      </w:r>
    </w:p>
    <w:p>
      <w:r>
        <w:rPr>
          <w:color w:val="555555"/>
          <w:sz w:val="18"/>
        </w:rPr>
        <w:t xml:space="preserve">Verordnung über den Bau von Betriebsräumen für elektrische Anlagen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 Verordnung gilt für elektrische Betriebsräume mit den in § 3 Abs. 1 Nrn. 1 bis 3 genannten elektrischen Anlagen in</w:t>
      </w:r>
    </w:p>
    <w:p>
      <w:r>
        <w:t xml:space="preserve">1. Waren- und Geschäftshäusern,</w:t>
      </w:r>
    </w:p>
    <w:p>
      <w:r>
        <w:t xml:space="preserve">2. Versammlungsstätten, ausgenommen Versammlungsstätten in fliegenden Bauten,</w:t>
      </w:r>
    </w:p>
    <w:p>
      <w:r>
        <w:t xml:space="preserve">3. Büro- und Verwaltungsgebäuden,</w:t>
      </w:r>
    </w:p>
    <w:p>
      <w:r>
        <w:t xml:space="preserve">4. Krankenhäusern, Altenpflegeheimen, Entbindungs- und Säuglingsheimen,</w:t>
      </w:r>
    </w:p>
    <w:p>
      <w:r>
        <w:t xml:space="preserve">5. Schulen und Sportstätten,</w:t>
      </w:r>
    </w:p>
    <w:p>
      <w:r>
        <w:t xml:space="preserve">6. Beherbergungsstätten, Gaststätten,</w:t>
      </w:r>
    </w:p>
    <w:p>
      <w:r>
        <w:t xml:space="preserve">7. geschlossenen Großgaragen und</w:t>
      </w:r>
    </w:p>
    <w:p>
      <w:r>
        <w:t xml:space="preserve">8. Wohngebäuden.</w:t>
      </w:r>
    </w:p>
    <w:p>
      <w:r>
        <w:t xml:space="preserve">(2) Diese Verordnung gilt nicht für elektrische Betriebsräume in freistehenden Gebäuden oder durch Brandwände abgetrennten Gebäudeteilen, wenn diese nur die elektrischen Betriebsräume enthalten.</w:t>
      </w:r>
    </w:p>
    <w:p>
      <w:r>
        <w:rPr>
          <w:color w:val="555555"/>
          <w:sz w:val="17"/>
        </w:rPr>
        <w:t xml:space="preserve">Zitiervorschlag: § 1 EltBauV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https://recht.nulegal.eu/gesetze/EltBauV/1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