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ElektronAusbV 2008 — Durchführung der Berufsausbildung</w:t>
      </w:r>
    </w:p>
    <w:p>
      <w:r>
        <w:rPr>
          <w:color w:val="555555"/>
          <w:sz w:val="18"/>
        </w:rPr>
        <w:t xml:space="preserve">Verordnung über die Berufsausbildung zum Elektroniker und zur Elektronikerin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(1) Die in § 4 genannten Fertigkeiten, Kenntnisse und Fähigkeiten sollen so vermittelt werden, dass die Auszubildenden zur Ausübung einer qualifizierten beruflichen Tätigkeit im Sinne von § 1 Abs. 3 des Berufsbildungsgesetzes befähigt werden, die insbesondere selbstständiges Planen, Durchführen und Kontrollieren einschließt. Diese Befähigung ist auch in den Prüfungen nach den §§ 6 bis 10 nachzuweisen.</w:t>
      </w:r>
    </w:p>
    <w:p>
      <w:r>
        <w:t xml:space="preserve">(2) Die Ausbildenden haben unter Zugrundelegung des Ausbildungsrahmenplanes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Ausbildungsnachweis regelmäßig durchzusehen.</w:t>
      </w:r>
    </w:p>
    <w:p>
      <w:r>
        <w:rPr>
          <w:color w:val="555555"/>
          <w:sz w:val="17"/>
        </w:rPr>
        <w:t xml:space="preserve">Zitiervorschlag: § 5 ElektronAusbV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https://recht.nulegal.eu/gesetze/ElektronAusbV%202008/5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ElektronAusbV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