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ElektronAusbV 2008 — Struktur der Berufsausbildung</w:t>
      </w:r>
    </w:p>
    <w:p>
      <w:r>
        <w:rPr>
          <w:color w:val="555555"/>
          <w:sz w:val="18"/>
        </w:rPr>
        <w:t xml:space="preserve">Verordnung über die Berufsausbildung zum Elektroniker und zur Elektronikerin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Die Berufsausbildung gliedert sich in gemeinsame Ausbildungsinhalte und in die Ausbildung in einer der Fachrichtungen</w:t>
      </w:r>
    </w:p>
    <w:p>
      <w:pPr>
        <w:ind w:left="420"/>
      </w:pPr>
      <w:r>
        <w:t xml:space="preserve">1. Energie- und Gebäudetechnik,</w:t>
      </w:r>
    </w:p>
    <w:p>
      <w:pPr>
        <w:ind w:left="420"/>
      </w:pPr>
      <w:r>
        <w:t xml:space="preserve">2. Automatisierungstechnik oder</w:t>
      </w:r>
    </w:p>
    <w:p>
      <w:pPr>
        <w:ind w:left="420"/>
      </w:pPr>
      <w:r>
        <w:t xml:space="preserve">3. Informations- und Telekommunikationstechnik.</w:t>
      </w:r>
    </w:p>
    <w:p>
      <w:r>
        <w:rPr>
          <w:color w:val="555555"/>
          <w:sz w:val="17"/>
        </w:rPr>
        <w:t xml:space="preserve">Zitiervorschlag: § 3 ElektronAusbV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https://recht.nulegal.eu/gesetze/ElektronAusbV%202008/3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