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ElektroTechMstrV 2024 — Gewichtung, Bestehen der Prüfung in Teil I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Das Meisterprüfungsprojekt, das Fachgespräch und die Situationsaufgabe werden gesondert bewertet. Bei Berechnung des Gesamtergebnisses der Prüfung in Teil I der Meisterprüfung nach Maßgabe der Vorschriften der Meisterprüfungsverfahrensverordnung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