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ElektroTechMstrV 2024 — Fachgespräch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und wirtschaftliche Gesichtspunkte, rechtliche Gesichtspunkte sowie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Elektrotechniker-Handwerk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