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ElektroTechMstrV 2024 — Ziel und Gliederung der Prüfung in Teil I</w:t>
      </w:r>
    </w:p>
    <w:p>
      <w:r>
        <w:rPr>
          <w:color w:val="555555"/>
          <w:sz w:val="18"/>
        </w:rPr>
        <w:t xml:space="preserve">Elektrotechnikermeisterverordnung</w:t>
      </w:r>
    </w:p>
    <w:p>
      <w:r>
        <w:rPr>
          <w:color w:val="555555"/>
          <w:sz w:val="18"/>
        </w:rPr>
        <w:t xml:space="preserve">Stand: 01.03.2024 (konsolidierte Textfassung, kein amtliches Inkrafttretensdatum)</w:t>
      </w:r>
    </w:p>
    <w:p>
      <w:r>
        <w:t xml:space="preserve">(1) In der Prüfung in Teil I hat der Prüfling umfängliche und zusammenhängende berufliche Aufgaben zu lösen und dabei nachzuweisen, dass er wesentliche Tätigkeiten des Elektrotechniker-Handwerks meisterhaft verrichtet.</w:t>
      </w:r>
    </w:p>
    <w:p>
      <w:r>
        <w:t xml:space="preserve">(2) Die Prüfung in Teil I gliedert sich in folgende Prüfungsbereiche:</w:t>
      </w:r>
    </w:p>
    <w:p>
      <w:pPr>
        <w:ind w:left="420"/>
      </w:pPr>
      <w:r>
        <w:t xml:space="preserve">1. ein Meisterprüfungsprojekt nach § 4 und ein darauf bezogenes Fachgespräch nach § 5 sowie</w:t>
      </w:r>
    </w:p>
    <w:p>
      <w:pPr>
        <w:ind w:left="420"/>
      </w:pPr>
      <w:r>
        <w:t xml:space="preserve">2. eine Situationsaufgabe nach § 6.</w:t>
      </w:r>
    </w:p>
    <w:p>
      <w:r>
        <w:rPr>
          <w:color w:val="555555"/>
          <w:sz w:val="17"/>
        </w:rPr>
        <w:t xml:space="preserve">Zitiervorschlag: § 3 ElektroTechMstrV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https://recht.nulegal.eu/gesetze/ElektroTechMstrV%202024/3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