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ElektroTechMstrV 2024 — Gewichtung, Bestehen der Prüfung in Teil II</w:t>
      </w:r>
    </w:p>
    <w:p>
      <w:r>
        <w:rPr>
          <w:color w:val="555555"/>
          <w:sz w:val="18"/>
        </w:rPr>
        <w:t xml:space="preserve">Elektrotechnikermeisterverordnung</w:t>
      </w:r>
    </w:p>
    <w:p>
      <w:r>
        <w:rPr>
          <w:color w:val="555555"/>
          <w:sz w:val="18"/>
        </w:rPr>
        <w:t xml:space="preserve">Stand: 01.03.2024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9 bis 11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t xml:space="preserve">(4) Der Meisterprüfungsausschuss stellt dem Prüfling eine Bescheinigung aus, wenn die folgenden Prüfungsleistungen mit jeweils mindestens 50 Prozent der möglichen Punktzahl bewertet worden sind:</w:t>
      </w:r>
    </w:p>
    <w:p>
      <w:pPr>
        <w:ind w:left="420"/>
      </w:pPr>
      <w:r>
        <w:t xml:space="preserve">1. im Meisterprüfungsprojekt der Bestandteil „Kontroll- und Dokumentationsarbeiten anhand der Dokumentationsunterlagen“ nach § 4 Absatz 5 Nummer 3,</w:t>
      </w:r>
    </w:p>
    <w:p>
      <w:pPr>
        <w:ind w:left="420"/>
      </w:pPr>
      <w:r>
        <w:t xml:space="preserve">2. im Fachgespräch nach § 5,</w:t>
      </w:r>
    </w:p>
    <w:p>
      <w:pPr>
        <w:ind w:left="420"/>
      </w:pPr>
      <w:r>
        <w:t xml:space="preserve">3. im Handlungsfeld „Anforderungen von Kunden eines Betriebes im Elektrotechniker-Handwerk analysieren, Lösungen erarbeiten und anbieten“ nach § 9 sowie</w:t>
      </w:r>
    </w:p>
    <w:p>
      <w:pPr>
        <w:ind w:left="420"/>
      </w:pPr>
      <w:r>
        <w:t xml:space="preserve">4. im Handlungsfeld „Leistungen eines Betriebs im Elektrotechniker-Handwerk erbringen, kontrollieren und übergeben“ nach § 10.</w:t>
      </w:r>
    </w:p>
    <w:p>
      <w:r>
        <w:rPr>
          <w:color w:val="555555"/>
          <w:sz w:val="17"/>
        </w:rPr>
        <w:t xml:space="preserve">Zitiervorschlag: § 12 ElektroTechMstrV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https://recht.nulegal.eu/gesetze/ElektroTechMstrV%202024/12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