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ElektroTechMstrV 2024 — Gegenstand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Elektrotechniker-Handwerk in folgenden Schwerpunkten:</w:t>
      </w:r>
    </w:p>
    <w:p>
      <w:pPr>
        <w:ind w:left="420"/>
      </w:pPr>
      <w:r>
        <w:t xml:space="preserve">1. Energie- und Gebäudetechnik,</w:t>
      </w:r>
    </w:p>
    <w:p>
      <w:pPr>
        <w:ind w:left="420"/>
      </w:pPr>
      <w:r>
        <w:t xml:space="preserve">2. Automatisierungs- und Systemtechnik sowie</w:t>
      </w:r>
    </w:p>
    <w:p>
      <w:pPr>
        <w:ind w:left="420"/>
      </w:pPr>
      <w:r>
        <w:t xml:space="preserve">3. Gebäudesystemintegration.</w:t>
      </w:r>
    </w:p>
    <w:p>
      <w:r>
        <w:rPr>
          <w:color w:val="555555"/>
          <w:sz w:val="17"/>
        </w:rPr>
        <w:t xml:space="preserve">Zitiervorschlag: § 1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