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ElektroStoffV — Umstände, unter denen die Verpflichtungen des Herstellers auch für den Importeur und den Vertreiber gelten</w:t>
      </w:r>
    </w:p>
    <w:p>
      <w:r>
        <w:rPr>
          <w:color w:val="555555"/>
          <w:sz w:val="18"/>
        </w:rPr>
        <w:t xml:space="preserve">Elektro- und Elektronikgeräte-Stoff-Verordnung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Importeur oder Vertreiber gilt für die Zwecke dieser Verordnung als Hersteller und hat die Verpflichtungen für Hersteller gemäß den §§ 4, 5 und 11 einzuhalten, wenn er</w:t>
      </w:r>
    </w:p>
    <w:p>
      <w:pPr>
        <w:ind w:left="420"/>
      </w:pPr>
      <w:r>
        <w:t xml:space="preserve">1. ein Elektro- oder Elektronikgerät unter seinem eigenen Namen oder seiner eigenen Marke in Verkehr bringt oder</w:t>
      </w:r>
    </w:p>
    <w:p>
      <w:pPr>
        <w:ind w:left="420"/>
      </w:pPr>
      <w:r>
        <w:t xml:space="preserve">2. ein bereits in Verkehr gebrachtes Elektro- oder Elektronikgerät so verändert, dass die Erfüllung der sich aus dieser Verordnung ergebenden Anforderungen beeinträchtigt werden kann.</w:t>
      </w:r>
    </w:p>
    <w:p>
      <w:r>
        <w:rPr>
          <w:color w:val="555555"/>
          <w:sz w:val="17"/>
        </w:rPr>
        <w:t xml:space="preserve">Zitiervorschlag: § 9 ElektroStoffV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https://recht.nulegal.eu/gesetze/ElektroStoffV/9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