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ElektroStoffV — Verpflichtungen des Importeurs</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(1) Der Importeur muss sich, bevor er ein Elektro- oder Elektronikgerät in Verkehr bringt, vergewissern, dass der Hersteller durch ein Verfahren nach § 3 Absatz 2 Satz 1 Nummer 2 oder Satz 2 nachgewiesen hat, dass das Elektro- oder Elektronikgerät die Anforderungen nach § 3 Absatz 1 erfüllt. Hierbei hat der Importeur insbesondere zu prüfen, ob</w:t>
      </w:r>
    </w:p>
    <w:p>
      <w:pPr>
        <w:ind w:left="420"/>
      </w:pPr>
      <w:r>
        <w:t xml:space="preserve">1. der Hersteller die technischen Unterlagen nach § 3 Absatz 2 Satz 1 Nummer 1 erstellt hat,</w:t>
      </w:r>
    </w:p>
    <w:p>
      <w:pPr>
        <w:ind w:left="420"/>
      </w:pPr>
      <w:r>
        <w:t xml:space="preserve">2. das Elektro- oder Elektronikgerät mit der CE-Kennzeichnung nach § 12 versehen ist und</w:t>
      </w:r>
    </w:p>
    <w:p>
      <w:pPr>
        <w:ind w:left="420"/>
      </w:pPr>
      <w:r>
        <w:t xml:space="preserve">3. der Hersteller das Elektro- oder Elektronikgerät nach § 5 Absatz 1 und 2 gekennzeichnet hat.</w:t>
      </w:r>
    </w:p>
    <w:p>
      <w:r>
        <w:t xml:space="preserve">Besteht Grund zu der Annahme, dass ein Elektro- oder Elektronikgerät nicht die Anforderungen nach § 3 Absatz 1 erfüllt, darf der Importeur dieses Gerät nicht in Verkehr bringen. Er informiert hierüber den Hersteller und die zuständigen Behörden.</w:t>
      </w:r>
    </w:p>
    <w:p>
      <w:r>
        <w:t xml:space="preserve">(2) Besteht Grund zu der Annahme, dass ein vom Importeur in Verkehr gebrachtes Elektro- oder Elektronikgerät nicht den Anforderungen des § 3 entspricht, hat der Importeur unverzüglich Maßnahmen zu ergreifen, durch die die Konformität dieses Geräts hergestellt wird; wenn dies nicht möglich ist, muss er das Elektro- oder Elektronikgerät erforderlichenfalls vom Markt nehmen oder zurückrufen. Er muss unverzüglich die zuständigen Behörden darüber informieren und ausführliche Angaben machen, insbesondere über die Nichtkonformität und die ergriffenen Maßnahmen.</w:t>
      </w:r>
    </w:p>
    <w:p>
      <w:r>
        <w:t xml:space="preserve">(3) Der Importeur muss ein Verzeichnis der von ihm importierten nichtkonformen Elektro- und Elektronikgeräte sowie der diesbezüglichen Rückrufe und Rücknahmen von Elektro- und Elektronikgeräten führen und die Vertreiber über die in diesem Verzeichnis gelisteten Elektro- und Elektronikgeräte in regelmäßigen Abständen informieren.</w:t>
      </w:r>
    </w:p>
    <w:p>
      <w:r>
        <w:t xml:space="preserve">(4) Der Importeur hat über einen Zeitraum von zehn Jahren ab dem Inverkehrbringen des letzten Stücks einer Elektro- oder Elektronikgeräteserie eine Kopie der EU-Konformitätserklärung für die zuständigen Behörden bereitzuhalten und dafür zu sorgen, dass er diesen Behörden auf Verlangen die technischen Unterlagen vorlegen kann.</w:t>
      </w:r>
    </w:p>
    <w:p>
      <w:r>
        <w:t xml:space="preserve">(5) Der Importeur muss sicherstellen, dass sein Name, seine eingetragene Firma oder seine eingetragene Marke und seine Anschrift auf dem Elektro- oder Elektronikgerät angegeben sind. Falls dies nicht möglich ist, muss der Importeur diese Angaben auf der Verpackung oder in den Unterlagen, die dem Gerät beigefügt sind, machen.</w:t>
      </w:r>
    </w:p>
    <w:p>
      <w:r>
        <w:t xml:space="preserve">(6) Der Importeur ist verpflichtet, der zuständigen Behörde auf deren begründetes Verlangen alle Informationen und Unterlagen zur Verfügung zu stellen, die erforderlich sind, um die Konformität des in Verkehr gebrachten Elektro- oder Elektronikgeräts mit den Anforderungen des § 3 nachzuweisen. Die Informationen und Unterlagen sind in deutscher oder englischer Sprache zu verfassen. Der Importeur hat mit dieser Behörde auf deren Verlangen bei allen erforderlichen Maßnahmen zu kooperieren, die sicherstellen sollen, dass das von ihm in Verkehr gebrachte Gerät die Anforderungen dieser Verordnung einhält.</w:t>
      </w:r>
    </w:p>
    <w:p>
      <w:r>
        <w:rPr>
          <w:color w:val="555555"/>
          <w:sz w:val="17"/>
        </w:rPr>
        <w:t xml:space="preserve">Zitiervorschlag: § 7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