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ElektroStoffV — Inkrafttreten</w:t>
      </w:r>
    </w:p>
    <w:p>
      <w:r>
        <w:rPr>
          <w:color w:val="555555"/>
          <w:sz w:val="18"/>
        </w:rPr>
        <w:t xml:space="preserve">Elektro- und Elektronikgeräte-Stoff-Verordnung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9. Mai 2013 in Kraft.</w:t>
      </w:r>
    </w:p>
    <w:p>
      <w:r>
        <w:rPr>
          <w:color w:val="555555"/>
          <w:sz w:val="17"/>
        </w:rPr>
        <w:t xml:space="preserve">Zitiervorschlag: § 16 ElektroStoffV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https://recht.nulegal.eu/gesetze/ElektroStoffV/16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