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ElektroStoffV — Bußgeldvorschriften</w:t>
      </w:r>
    </w:p>
    <w:p>
      <w:r>
        <w:rPr>
          <w:color w:val="555555"/>
          <w:sz w:val="18"/>
        </w:rPr>
        <w:t xml:space="preserve">Elektro- und Elektronikgeräte-Stoff-Verordnung</w:t>
      </w:r>
    </w:p>
    <w:p>
      <w:r>
        <w:rPr>
          <w:color w:val="555555"/>
          <w:sz w:val="18"/>
        </w:rPr>
        <w:t xml:space="preserve">Stand: 16.02.2023 (konsolidierte Textfassung, kein amtliches Inkrafttretensdatum)</w:t>
      </w:r>
    </w:p>
    <w:p>
      <w:r>
        <w:t xml:space="preserve">(1) Ordnungswidrig im Sinne des § 69 Absatz 1 Nummer 8 des Kreislaufwirtschaftsgesetzes handelt, wer vorsätzlich oder fahrlässig entgegen § 3 Absatz 1 ein Elektro- oder Elektronikgerät in Verkehr bringt.</w:t>
      </w:r>
    </w:p>
    <w:p>
      <w:r>
        <w:t xml:space="preserve">(2) Ordnungswidrig im Sinne des § 28 Absatz 1 Nummer 7 Buchstabe a des Produktsicherheitsgesetzes handelt, wer vorsätzlich oder fahrlässig</w:t>
      </w:r>
    </w:p>
    <w:p>
      <w:pPr>
        <w:ind w:left="420"/>
      </w:pPr>
      <w:r>
        <w:t xml:space="preserve">1. entgegen § 3 Absatz 2 Satz 1 Nummer 3 ein Elektro- und Elektronikgerät in Verkehr bringt,</w:t>
      </w:r>
    </w:p>
    <w:p>
      <w:pPr>
        <w:ind w:left="420"/>
      </w:pPr>
      <w:r>
        <w:t xml:space="preserve">2. entgegen § 5 Absatz 1 Satz 1 nicht sicherstellt, dass ein Elektro- oder Elektronikgerät ein dort genanntes Kennzeichen trägt,</w:t>
      </w:r>
    </w:p>
    <w:p>
      <w:pPr>
        <w:ind w:left="420"/>
      </w:pPr>
      <w:r>
        <w:t xml:space="preserve">3. entgegen § 5 Absatz 2 Satz 1 oder § 7 Absatz 5 nicht sicherstellt, dass ein dort genanntes Kennzeichen entweder auf dem dort genannten Gerät, auf der Verpackung oder in den dort genannten Unterlagen angegeben ist, oder</w:t>
      </w:r>
    </w:p>
    <w:p>
      <w:pPr>
        <w:ind w:left="420"/>
      </w:pPr>
      <w:r>
        <w:t xml:space="preserve">4. entgegen § 5 Absatz 3 Satz 1, § 7 Absatz 6 Satz 1 oder § 8 Absatz 3 Satz 1 eine dort genannte Information oder eine dort genannte Unterlage nicht, nicht vollständig oder nicht rechtzeitig aushändigt oder nicht, nicht vollständig oder nicht rechtzeitig zur Verfügung stellt.</w:t>
      </w:r>
    </w:p>
    <w:p>
      <w:r>
        <w:rPr>
          <w:color w:val="555555"/>
          <w:sz w:val="17"/>
        </w:rPr>
        <w:t xml:space="preserve">Zitiervorschlag: § 14 ElektroStoffV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https://recht.nulegal.eu/gesetze/ElektroStoffV/14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