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ElektroStoffV — CE-Kennzeichnung</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Für die CE-Kennzeichnung gelten die allgemeinen Grundsätze gemäß Artikel 30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r>
        <w:t xml:space="preserve">(2) Die CE-Kennzeichnung ist sichtbar, lesbar und dauerhaft auf dem fertigen Elektro- oder Elektronikgerät oder seiner Datenplakette anzubringen. Falls dies auf Grund der Größe oder Art des Elektro- oder Elektronikgeräts nicht möglich ist, wird sie auf der Verpackung und den Begleitunterlagen angebracht.</w:t>
      </w:r>
    </w:p>
    <w:p>
      <w:r>
        <w:rPr>
          <w:color w:val="555555"/>
          <w:sz w:val="17"/>
        </w:rPr>
        <w:t xml:space="preserve">Zitiervorschlag: § 12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