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ElektroStoffV — EU-Konformitätserklärung</w:t>
      </w:r>
    </w:p>
    <w:p>
      <w:r>
        <w:rPr>
          <w:color w:val="555555"/>
          <w:sz w:val="18"/>
        </w:rPr>
        <w:t xml:space="preserve">Elektro- und Elektronikgeräte-Stoff-Verordnung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Mit der Ausstellung der EU-Konformitätserklärung bestätigt der Hersteller, dass</w:t>
      </w:r>
    </w:p>
    <w:p>
      <w:pPr>
        <w:ind w:left="420"/>
      </w:pPr>
      <w:r>
        <w:t xml:space="preserve">1. die in § 3 Absatz 1 genannten Stoffbeschränkungen eingehalten werden und</w:t>
      </w:r>
    </w:p>
    <w:p>
      <w:pPr>
        <w:ind w:left="420"/>
      </w:pPr>
      <w:r>
        <w:t xml:space="preserve">2. das in § 3 Absatz 2 Satz 1 Nummer 2 oder in § 3 Absatz 2 Satz 2 genannte Konformitätsbewertungsverfahren durchgeführt wurde.</w:t>
      </w:r>
    </w:p>
    <w:p>
      <w:r>
        <w:t xml:space="preserve">(2) Die EU-Konformitätserklärung muss</w:t>
      </w:r>
    </w:p>
    <w:p>
      <w:pPr>
        <w:ind w:left="420"/>
      </w:pPr>
      <w:r>
        <w:t xml:space="preserve">1. in ihrem Aufbau dem Muster in Anhang VI der Richtlinie 2011/65/EU entsprechen,</w:t>
      </w:r>
    </w:p>
    <w:p>
      <w:pPr>
        <w:ind w:left="420"/>
      </w:pPr>
      <w:r>
        <w:t xml:space="preserve">2. die in Anhang VI der Richtlinie 2011/65/EU angegebenen Elemente enthalten und</w:t>
      </w:r>
    </w:p>
    <w:p>
      <w:pPr>
        <w:ind w:left="420"/>
      </w:pPr>
      <w:r>
        <w:t xml:space="preserve">3. vom Hersteller regelmäßig aktualisiert werden.</w:t>
      </w:r>
    </w:p>
    <w:p>
      <w:r>
        <w:t xml:space="preserve">Eine unterzeichnete Version muss nach Wahl des Herstellers entweder in deutscher oder englischer Sprache vorgehalten werden. Sie ist auf Verlangen der zuständigen Behörde in die deutsche Sprache zu übersetzen.</w:t>
      </w:r>
    </w:p>
    <w:p>
      <w:r>
        <w:rPr>
          <w:color w:val="555555"/>
          <w:sz w:val="17"/>
        </w:rPr>
        <w:t xml:space="preserve">Zitiervorschlag: § 11 ElektroStoffV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https://recht.nulegal.eu/gesetze/ElektroStoffV/11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