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ElektroStoffV — Benennung der Wirtschaftsakteure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Wirtschaftsakteur hat den zuständigen Behörden auf deren Verlangen diejenigen Wirtschaftsakteure zu benennen,</w:t>
      </w:r>
    </w:p>
    <w:p>
      <w:pPr>
        <w:ind w:left="420"/>
      </w:pPr>
      <w:r>
        <w:t xml:space="preserve">1. von denen er ein Elektro- oder Elektronikgerät bezogen hat und</w:t>
      </w:r>
    </w:p>
    <w:p>
      <w:pPr>
        <w:ind w:left="420"/>
      </w:pPr>
      <w:r>
        <w:t xml:space="preserve">2. an die er ein Elektro- oder Elektronikgerät abgegeben hat.</w:t>
      </w:r>
    </w:p>
    <w:p>
      <w:r>
        <w:t xml:space="preserve">(2) Der Hersteller muss die in Absatz 1 genannten Informationen über einen Zeitraum von zehn Jahren ab dem Inverkehrbringen bereithalten. Die übrigen Wirtschaftsakteure müssen die in Absatz 1 genannten Informationen über einen Zeitraum von zehn Jahren nach der Abgabe des Elektro- oder Elektronikgeräts bereithalten.</w:t>
      </w:r>
    </w:p>
    <w:p>
      <w:r>
        <w:rPr>
          <w:color w:val="555555"/>
          <w:sz w:val="17"/>
        </w:rPr>
        <w:t xml:space="preserve">Zitiervorschlag: § 10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