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ElektroMbMstrV 2024 — Begriffsbestimmungen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Antriebssysteme im Sinne dieser Verordnung umfassen mechanische Antriebssysteme, elektrische Antriebssysteme sowie elektronische Antriebssysteme.</w:t>
      </w:r>
    </w:p>
    <w:p>
      <w:r>
        <w:t xml:space="preserve">(2) Energieerzeugungssysteme im Sinne dieser Verordnung umfassen mechanische Energieerzeugungssysteme, elektrische Energieerzeugungssysteme sowie elektronische Energieerzeugungssysteme.</w:t>
      </w:r>
    </w:p>
    <w:p>
      <w:r>
        <w:t xml:space="preserve">(3) Energiespeichersysteme im Sinne dieser Verordnung umfassen mechanische Energiespeichersysteme, elektrische Energiespeichersysteme sowie elektronische Energiespeichersysteme.</w:t>
      </w:r>
    </w:p>
    <w:p>
      <w:r>
        <w:rPr>
          <w:color w:val="555555"/>
          <w:sz w:val="17"/>
        </w:rPr>
        <w:t xml:space="preserve">Zitiervorschlag: § 2 ElektroMbMstrV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