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ElektroMbMstrV 2024 — Gegenstand</w:t>
      </w:r>
    </w:p>
    <w:p>
      <w:r>
        <w:rPr>
          <w:color w:val="555555"/>
          <w:sz w:val="18"/>
        </w:rPr>
        <w:t xml:space="preserve">Elektromaschinenbauermeisterverordnung</w:t>
      </w:r>
    </w:p>
    <w:p>
      <w:r>
        <w:rPr>
          <w:color w:val="555555"/>
          <w:sz w:val="18"/>
        </w:rPr>
        <w:t xml:space="preserve">Stand: 01.03.2024 (konsolidierte Textfassung, kein amtliches Inkrafttretensdatum)</w:t>
      </w:r>
    </w:p>
    <w:p>
      <w:r>
        <w:t xml:space="preserve">Diese Verordnung regelt das Meisterprüfungsberufsbild, die in der Prüfung in den Teilen I und II der Meisterprüfung zu stellenden Anforderungen sowie die Bestimmungen zur Durchführung der Meisterprüfung im Elektromaschinenbauer-Handwerk.</w:t>
      </w:r>
    </w:p>
    <w:p>
      <w:r>
        <w:rPr>
          <w:color w:val="555555"/>
          <w:sz w:val="17"/>
        </w:rPr>
        <w:t xml:space="preserve">Zitiervorschlag: § 1 ElektroMbMstrV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https://recht.nulegal.eu/gesetze/ElektroMbMstrV%202024/1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