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ElektroGGebV — Inkrafttreten, Außerkrafttreten</w:t>
      </w:r>
    </w:p>
    <w:p>
      <w:r>
        <w:rPr>
          <w:color w:val="555555"/>
          <w:sz w:val="18"/>
        </w:rPr>
        <w:t xml:space="preserve">Elektro- und Elektronikgerätegesetz-Batterierecht-Durchführungsgesetz-Gebührenverordnung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Elektro- und Elektronikgerätegesetz-Kostenverordnung vom 6. Juli 2005 (BGBl. I S. 2020), die zuletzt durch Artikel 1 der Verordnung vom 28. November 2013 (BGBl. I S. 4094) geändert worden ist, außer Kraft.</w:t>
      </w:r>
    </w:p>
    <w:p>
      <w:r>
        <w:rPr>
          <w:color w:val="555555"/>
          <w:sz w:val="17"/>
        </w:rPr>
        <w:t xml:space="preserve">Zitiervorschlag: § 4 ElektroGGebV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