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ElektroGGebV — Gebührenerhebung</w:t>
      </w:r>
    </w:p>
    <w:p>
      <w:r>
        <w:rPr>
          <w:color w:val="555555"/>
          <w:sz w:val="18"/>
        </w:rPr>
        <w:t xml:space="preserve">Elektro- und Elektronikgerätegesetz-Batterierecht-Durchführungsgesetz-Gebührenverordnung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Umweltbundesamt oder die nach § 40 Absatz 1 des Elektro- und Elektronikgerätegesetzes oder nach § 23 Absatz 1 des Batteriegesetzes beliehene Gemeinsame Stelle der Hersteller nach dem Elektro- und Elektronikgerätegesetz erhebt für gebührenfähige Leistungen des Umweltbundesamtes oder der beliehenen Gemeinsamen Stelle der Hersteller nach dem Elektro- und Elektronikgerätegesetz Gebühren nach</w:t>
      </w:r>
    </w:p>
    <w:p>
      <w:pPr>
        <w:ind w:left="420"/>
      </w:pPr>
      <w:r>
        <w:t xml:space="preserve">1. dem Bundesgebührengesetz vom 7. August 2013 (BGBl. I S. 3154), das zuletzt durch Artikel 2 des Gesetzes vom 16. Juli 2021 (BGBl. I S. 3019) geändert worden ist,</w:t>
      </w:r>
    </w:p>
    <w:p>
      <w:pPr>
        <w:ind w:left="420"/>
      </w:pPr>
      <w:r>
        <w:t xml:space="preserve">2. den nachfolgenden Bestimmungen und</w:t>
      </w:r>
    </w:p>
    <w:p>
      <w:pPr>
        <w:ind w:left="420"/>
      </w:pPr>
      <w:r>
        <w:t xml:space="preserve">3. dem zu dieser Verordnung als Anlage beigefügten Gebührenverzeichnis.</w:t>
      </w:r>
    </w:p>
    <w:p>
      <w:r>
        <w:t xml:space="preserve">Unterliegen die in Anlage genannten gebührenfähigen Leistungen der Umsatzsteuer, wird diese der Gebühr hinzugerechnet.</w:t>
      </w:r>
    </w:p>
    <w:p>
      <w:r>
        <w:t xml:space="preserve">(2) Verwaltungsakte des Umweltbundesamtes oder der nach § 40 Absatz 1 des Elektro- und Elektronikgerätegesetzes oder nach § 23 Absatz 1 des Batteriegesetzes beliehenen Gemeinsamen Stelle nach Absatz 1 Satz 1 können unbeschadet des § 24 Absatz 1 Satz 3 des Verwaltungsverfahrensgesetzes vollständig durch automatische Einrichtungen erlassen werden, sofern kein Anlass besteht, den Einzelfall durch Amtsträger zu bearbeiten.</w:t>
      </w:r>
    </w:p>
    <w:p>
      <w:r>
        <w:rPr>
          <w:color w:val="555555"/>
          <w:sz w:val="17"/>
        </w:rPr>
        <w:t xml:space="preserve">Zitiervorschlag: § 1 ElektroGGebV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