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ElektroG 2015 — Kennzeichnung</w:t>
      </w:r>
    </w:p>
    <w:p>
      <w:r>
        <w:rPr>
          <w:color w:val="555555"/>
          <w:sz w:val="18"/>
        </w:rPr>
        <w:t xml:space="preserve">Elektro- und Elektronikgerätegesetz</w:t>
      </w:r>
    </w:p>
    <w:p>
      <w:r>
        <w:rPr>
          <w:color w:val="555555"/>
          <w:sz w:val="18"/>
        </w:rPr>
        <w:t xml:space="preserve">Stand: 01.01.2022 (konsolidierte Textfassung, kein amtliches Inkrafttretensdatum)</w:t>
      </w:r>
    </w:p>
    <w:p>
      <w:r>
        <w:t xml:space="preserve">(1) Elektro- und Elektronikgeräte, die nach den in § 3 Nummer 4 genannten Zeitpunkten in Verkehr gebracht werden, sind vor dem Inverkehrbringen auf dem europäischen Markt dauerhaft so zu kennzeichnen, dass der Hersteller eindeutig zu identifizieren ist und festgestellt werden kann, dass das Gerät nach dem jeweiligen in § 3 Nummer 4 genannten Zeitpunkt erstmals auf dem europäischen Markt in Verkehr gebracht wurde.</w:t>
      </w:r>
    </w:p>
    <w:p>
      <w:r>
        <w:t xml:space="preserve">(2) Die Geräte nach Absatz 1 sind außerdem mit dem Symbol nach Anlage 3 dauerhaft zu kennzeichnen. Sofern es in Ausnahmefällen auf Grund der Größe oder der Funktion des Elektro- oder Elektronikgerätes erforderlich ist, ist das Symbol statt auf dem Gerät auf die Verpackung, die Gebrauchsanweisung oder den Garantieschein für das Elektro- oder Elektronikgerät aufzudrucken. Satz 2 gilt auch für die Kennzeichnung mit Blick auf den Zeitpunkt des Inverkehrbringens nach Absatz 1, sofern die Kennzeichnung gemeinsam mit dem Symbol nach Satz 1 erfolgt.</w:t>
      </w:r>
    </w:p>
    <w:p>
      <w:r>
        <w:rPr>
          <w:color w:val="555555"/>
          <w:sz w:val="17"/>
        </w:rPr>
        <w:t xml:space="preserve">Zitiervorschlag: § 9 ElektroG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https://recht.nulegal.eu/gesetze/ElektroG%202015/9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