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ElektroG 2015 — Übergangsvorschriften</w:t>
      </w:r>
    </w:p>
    <w:p>
      <w:r>
        <w:rPr>
          <w:color w:val="555555"/>
          <w:sz w:val="18"/>
        </w:rPr>
        <w:t xml:space="preserve">Elektro- und Elektronikgerätegesetz</w:t>
      </w:r>
    </w:p>
    <w:p>
      <w:r>
        <w:rPr>
          <w:color w:val="555555"/>
          <w:sz w:val="18"/>
        </w:rPr>
        <w:t xml:space="preserve">Stand: 01.01.2026 (konsolidierte Textfassung, kein amtliches Inkrafttretensdatum)</w:t>
      </w:r>
    </w:p>
    <w:p>
      <w:r>
        <w:t xml:space="preserve">(1) Vertreiber von elektronischen Zigaretten oder elektronischen Tabakerhitzern, die nach § 17 Absatz 1a zur Rücknahme verpflichtet sind, müssen die Rücknahmestellen bis zum Ablauf des 30. Juni 2026 einrichten. Vertreiber, die nach dem 30. Juni 2026 keine elektronischen Zigaretten oder elektronischen Tabakerhitzer mehr anbieten, sind nicht zur Rücknahme verpflichtet.</w:t>
      </w:r>
    </w:p>
    <w:p>
      <w:r>
        <w:t xml:space="preserve">(2) Vertreiber, die nach § 17 Absatz 1, 1a und 2 Satz 1 zur Rücknahme verpflichtet sind, haben die Anforderungen nach § 18a Absatz 2 bis 4 zur Kennzeichnung und Information an den Rücknahmestellen bis zum Ablauf des 30. Juni 2026 umzusetzen.</w:t>
      </w:r>
    </w:p>
    <w:p>
      <w:r>
        <w:t xml:space="preserve">(3) Bei der Ermittlung der Abhol- und Aufstellungspflicht bleiben ab dem 1. Februar 2016 vorangegangene Abhol- und Aufstellungspflichten außer Betracht, soweit sie im Hinblick auf die Gruppen nach § 9 Absatz 4 Satz 1 Nummer 2 bis 5 des Elektro- und Elektronikgerätegesetzes in der am 16. März 2005 geltenden Fassung ermittelt worden sind. Satz 1 gilt für die Gruppen nach § 14 Absatz 1 Satz 1 Nummer 1, 3 und 5 des Elektro- und Elektronikgerätegesetzes in der am 20. Oktober 2015 geltenden Fassung im Hinblick auf die vor dem 1. Dezember 2018 ermittelten Abhol- und Aufstellungspflichten entsprechend.</w:t>
      </w:r>
    </w:p>
    <w:p>
      <w:r>
        <w:t xml:space="preserve">(4) Die Mitteilungen nach § 27 Absatz 1 Satz 1 Nummer 2 und 4 des Elektro- und Elektronikgerätegesetzes in der bis zum Ablauf des 31. Dezember 2025 geltenden Fassung haben letztmalig bis zum 15. Januar 2026 zu erfolgen.</w:t>
      </w:r>
    </w:p>
    <w:p>
      <w:r>
        <w:rPr>
          <w:color w:val="555555"/>
          <w:sz w:val="17"/>
        </w:rPr>
        <w:t xml:space="preserve">Zitiervorschlag: § 46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