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44 ElektroG 2015 — Widerspruch und Klage</w:t>
      </w:r>
    </w:p>
    <w:p>
      <w:r>
        <w:rPr>
          <w:color w:val="555555"/>
          <w:sz w:val="18"/>
        </w:rPr>
        <w:t xml:space="preserve">Elektro- und Elektronikgerätegesetz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Gegen Verwaltungsakte nach § 15 Absatz 4 Satz 1 oder § 38 Absatz 3 ist ein Widerspruchsverfahren ausgeschlossen.</w:t>
      </w:r>
    </w:p>
    <w:p>
      <w:r>
        <w:t xml:space="preserve">(2) Die Klage gegen eine Anordnung nach § 15 Absatz 4 Satz 1 oder nach § 38 Absatz 3 hat keine aufschiebende Wirkung.</w:t>
      </w:r>
    </w:p>
    <w:p>
      <w:r>
        <w:rPr>
          <w:color w:val="555555"/>
          <w:sz w:val="17"/>
        </w:rPr>
        <w:t xml:space="preserve">Zitiervorschlag: § 44 ElektroG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https://recht.nulegal.eu/gesetze/ElektroG%202015/44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