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ElektroG 2015 — Beauftragung Dritter</w:t>
      </w:r>
    </w:p>
    <w:p>
      <w:r>
        <w:rPr>
          <w:color w:val="555555"/>
          <w:sz w:val="18"/>
        </w:rPr>
        <w:t xml:space="preserve">Elektro- und Elektronikgerätegesetz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sich die nach diesem Gesetz Verpflichteten zur Erfüllung ihrer Pflichten Dritter bedienen, gilt § 22 Satz 2 und 3 des Kreislaufwirtschaftsgesetzes entsprechend.</w:t>
      </w:r>
    </w:p>
    <w:p>
      <w:r>
        <w:rPr>
          <w:color w:val="555555"/>
          <w:sz w:val="17"/>
        </w:rPr>
        <w:t xml:space="preserve">Zitiervorschlag: § 43 ElektroG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https://recht.nulegal.eu/gesetze/ElektroG%202015/43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