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ElektroG 2015 — Ermächtigung zur Beleihung</w:t>
      </w:r>
    </w:p>
    <w:p>
      <w:r>
        <w:rPr>
          <w:color w:val="555555"/>
          <w:sz w:val="18"/>
        </w:rPr>
        <w:t xml:space="preserve">Elektro- und Elektronikgerätegesetz</w:t>
      </w:r>
    </w:p>
    <w:p>
      <w:r>
        <w:rPr>
          <w:color w:val="555555"/>
          <w:sz w:val="18"/>
        </w:rPr>
        <w:t xml:space="preserve">Stand: 07.10.2025 (konsolidierte Textfassung, kein amtliches Inkrafttretensdatum)</w:t>
      </w:r>
    </w:p>
    <w:p>
      <w:r>
        <w:t xml:space="preserve">(1) Die zuständige Behörde wird ermächtigt, eine juristische Person des Privatrechts, eine rechtsfähige Personengesellschaft oder eine andere geeignete Stelle, die von Herstellern und Bevollmächtigten als Gemeinsame Stelle errichtet wird, mit den Aufgaben nach § 15 Absatz 4 Satz 1 und den §§ 37 bis 39 zu beleihen. Die Aufgaben schließen die Vollstreckung, die Rücknahme und den Widerruf der hierzu ergehenden Verwaltungsakte ein. § 33 Absatz 2 gilt nicht, sofern zur Vollstreckung einer Anordnung nach § 15 Absatz 4 Satz 1 oder § 38 Absatz 3 Satz 1 der Abschluss oder die Vermittlung von Verträgen mit Entsorgungsunternehmen erforderlich ist. Die zu Beleihende hat die notwendige Gewähr für die ordnungsgemäße Erfüllung der ihr übertragenen Aufgaben zu bieten. Sie bietet die notwendige Gewähr, wenn</w:t>
      </w:r>
    </w:p>
    <w:p>
      <w:pPr>
        <w:ind w:left="420"/>
      </w:pPr>
      <w:r>
        <w:t xml:space="preserve">1. die Personen, die nach Gesetz, dem Gesellschaftsvertrag oder der Satzung die Geschäftsführung und Vertretung ausüben, zuverlässig und fachlich geeignet sind,</w:t>
      </w:r>
    </w:p>
    <w:p>
      <w:pPr>
        <w:ind w:left="420"/>
      </w:pPr>
      <w:r>
        <w:t xml:space="preserve">2. sie die zur Erfüllung ihrer Aufgaben notwendige Ausstattung und Organisation hat und</w:t>
      </w:r>
    </w:p>
    <w:p>
      <w:pPr>
        <w:ind w:left="420"/>
      </w:pPr>
      <w:r>
        <w:t xml:space="preserve">3. sichergestellt ist, dass die Vorschriften zum Schutz personenbezogener Daten sowie von Betriebs- oder Geschäftsgeheimnissen eingehalten werden.</w:t>
      </w:r>
    </w:p>
    <w:p>
      <w:r>
        <w:t xml:space="preserve">Die Beliehene darf nur die in diesem Gesetz genannten und durch die Beleihung übertragenen Aufgaben wahrnehmen. Sofern die Voraussetzungen für eine Beleihung nach § 37 des Batterierecht-Durchführungsgesetzes vom 30. September 2025 (BGBl. 2025 I Nr. 233) in der jeweils geltenden Fassung vorliegen, darf die nach Satz 1 Beliehene auch die im Batterierecht-Durchführungsgesetz genannten und durch die Beleihung nach dem Batterierecht-Durchführungsgesetz übertragenen Aufgaben wahrnehmen.</w:t>
      </w:r>
    </w:p>
    <w:p>
      <w:r>
        <w:t xml:space="preserve">(2) Die zuständige Behörde kann der Beliehenen die Befugnis übertragen, für die Erfüllung der in Absatz 1 genannten Aufgaben Gebühren und Auslagen nach dem Bundesgebührengesetz zu erheben und festzulegen, wie die Gebühren und Auslagen vom Gebührenschuldner zu zahlen sind. Soweit bei der Beliehenen im Rahmen der Erfüllung der Aufgaben nach Absatz 1 Aufwand für nicht individuell zurechenbare öffentliche Leistungen oder sonstiger Aufwand entsteht, der nicht durch die Gebühren- und Auslagenerhebung der Beliehenen gedeckt ist, oder die Befugnis nach Satz 1 nicht übertragen wird, ersetzt die zuständige Behörde der Beliehenen die für die Erfüllung der Aufgaben nach Absatz 1 entstehenden Kosten und Auslagen.</w:t>
      </w:r>
    </w:p>
    <w:p>
      <w:r>
        <w:t xml:space="preserve">(3) Die Beleihung ist durch die zuständige Behörde im Bundesanzeiger bekannt zu machen.</w:t>
      </w:r>
    </w:p>
    <w:p>
      <w:r>
        <w:rPr>
          <w:color w:val="555555"/>
          <w:sz w:val="17"/>
        </w:rPr>
        <w:t xml:space="preserve">Zitiervorschlag: § 40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