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ElektroG 2015 — Zusammenarbeit mit anderen Behörden</w:t>
      </w:r>
    </w:p>
    <w:p>
      <w:r>
        <w:rPr>
          <w:color w:val="555555"/>
          <w:sz w:val="18"/>
        </w:rPr>
        <w:t xml:space="preserve">Elektro- und Elektronikgerätegesetz</w:t>
      </w:r>
    </w:p>
    <w:p>
      <w:r>
        <w:rPr>
          <w:color w:val="555555"/>
          <w:sz w:val="18"/>
        </w:rPr>
        <w:t xml:space="preserve">Stand: 10.06.2019 (konsolidierte Textfassung, kein amtliches Inkrafttretensdatum)</w:t>
      </w:r>
    </w:p>
    <w:p>
      <w:r>
        <w:t xml:space="preserve">(1) Die zuständige Behörde ist befugt, anderen nach Landesrecht für den Vollzug dieses Gesetzes zuständigen Behörden und öffentlich-rechtlichen Entsorgungsträgern auf deren Verlangen die zur Erfüllung ihrer jeweiligen Aufgabe erforderlichen Auskünfte und Angaben mitzuteilen. Die Kosten für eine solche Mitteilung sind ihr zu erstatten, soweit die Auskünfte und Angaben nicht für den Vollzug dieses Gesetzes erforderlich sind oder diese nur mit unverhältnismäßig großem Aufwand zusammengestellt werden können.</w:t>
      </w:r>
    </w:p>
    <w:p>
      <w:r>
        <w:t xml:space="preserve">(2) Für die Zusammenarbeit und den Informationsaustausch mit anderen Behörden und Stellen anderer Mitgliedstaaten der Europäischen Union zum Vollzug der Richtlinie 2012/19/EU, insbesondere mit Registern der anderen Mitgliedstaaten, gelten die §§ 8a bis 8e des Verwaltungsverfahrensgesetzes entsprechend. Zur Zusammenarbeit und zum Informationsaustausch gehört auch die Gewährung des Zugangs zu den einschlägigen Unterlagen und Informationen über die Ergebnisse von Inspektionen. Für die Verwaltungszusammenarbeit und den Informationsaustausch sind vorrangig elektronische Kommunikationsmittel zu nutzen.</w:t>
      </w:r>
    </w:p>
    <w:p>
      <w:r>
        <w:rPr>
          <w:color w:val="555555"/>
          <w:sz w:val="17"/>
        </w:rPr>
        <w:t xml:space="preserve">Zitiervorschlag: § 39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