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ElektroG 2015 — Weitere Aufgaben der zuständigen Behörde</w:t>
      </w:r>
    </w:p>
    <w:p>
      <w:r>
        <w:rPr>
          <w:color w:val="555555"/>
          <w:sz w:val="18"/>
        </w:rPr>
        <w:t xml:space="preserve">Elektro- und Elektronikgerätegesetz</w:t>
      </w:r>
    </w:p>
    <w:p>
      <w:r>
        <w:rPr>
          <w:color w:val="555555"/>
          <w:sz w:val="18"/>
        </w:rPr>
        <w:t xml:space="preserve">Stand: 01.01.2022 (konsolidierte Textfassung, kein amtliches Inkrafttretensdatum)</w:t>
      </w:r>
    </w:p>
    <w:p>
      <w:r>
        <w:t xml:space="preserve">(1) Die zuständige Behörde teilt der Gemeinsamen Stelle die von ihr registrierten Hersteller und Bevollmächtigten mit. Sie übermittelt dabei die Angaben nach § 37 Absatz 1 Satz 1 und 2 und teilt die nach § 6 Absatz 1 Satz 4 angezeigten Änderungen mit. Die zuständige Behörde übermittelt der Gemeinsamen Stelle die Garantienachweise nach § 7 Absatz 1. Sie teilt der Gemeinsamen Stelle darüber hinaus mit, welche Registrierungen aufgehoben wurden, sobald die Aufhebung bestandskräftig ist. Die Mitteilungen der zuständigen Behörde an die Gemeinsame Stelle haben den Formatvorgaben nach § 33 Absatz 1 Satz 4 zu entsprechen.</w:t>
      </w:r>
    </w:p>
    <w:p>
      <w:r>
        <w:t xml:space="preserve">(2) Die zuständige Behörde nimmt folgende Meldungen und Anzeigen entgegen:</w:t>
      </w:r>
    </w:p>
    <w:p>
      <w:pPr>
        <w:ind w:left="420"/>
      </w:pPr>
      <w:r>
        <w:t xml:space="preserve">1. die Meldungen der öffentlich-rechtlichen Entsorgungsträger nach § 15 Absatz 1 Satz 3,</w:t>
      </w:r>
    </w:p>
    <w:p>
      <w:pPr>
        <w:ind w:left="420"/>
      </w:pPr>
      <w:r>
        <w:t xml:space="preserve">2. die Anzeigen der öffentlich-rechtlichen Entsorgungsträger nach § 25 Absatz 1 und</w:t>
      </w:r>
    </w:p>
    <w:p>
      <w:pPr>
        <w:ind w:left="420"/>
      </w:pPr>
      <w:r>
        <w:t xml:space="preserve">3. die Anzeigen und Übermittlungen der Betreiber von Erstbehandlungsanlagen nach § 25 Absatz 2.</w:t>
      </w:r>
    </w:p>
    <w:p>
      <w:r>
        <w:t xml:space="preserve">Für diese Meldungen und Anzeigen gilt § 37 Absatz 3 Satz 1 bis 4 entsprechend. Die zuständige Behörde teilt die Meldungen und Anzeigen der Gemeinsamen Stelle mit. Die Mitteilungen der zuständigen Behörde an die Gemeinsame Stelle sollen den Formatvorgaben nach § 33 Absatz 1 Satz 4 entsprechen. Die zuständige Behörde prüft die Anzeigen nach § 25 Absatz 1 Satz 3 auf Plausibilität, insbesondere im Hinblick auf die Zuständigkeit des öffentlich-rechtlichen Entsorgungsträgers. Die zuständige Behörde prüft die Anzeigen nach § 25 Absatz 2 auf Plausibilität, insbesondere im Hinblick auf die Gültigkeit des übermittelten Zertifikats.</w:t>
      </w:r>
    </w:p>
    <w:p>
      <w:r>
        <w:t xml:space="preserve">(3) Erhält die zuständige Behörde eine Meldung der Gemeinsamen Stelle nach § 31 Absatz 7 Satz 3, trifft sie die im Einzelfall erforderlichen Anordnungen zur Sicherstellung der Erfüllung der Pflichten nach § 16 Absatz 1 und Absatz 2; hierbei berücksichtigt sie die von ihr geprüften Berechnungen der Gemeinsamen Stelle nach § 31 Absatz 5 bis 7. Erfolgt die Abholung nicht bis zur von der zuständigen Behörde festgesetzten Frist, gilt eine Nachfrist bis zum Ablauf des folgenden Werktages. Bei der Zuweisung informiert sie den jeweiligen verpflichteten Hersteller oder dessen Bevollmächtigten über die Bereitstellung eines Behältnisses für Nachtspeicherheizgeräte in der Gruppe 4.</w:t>
      </w:r>
    </w:p>
    <w:p>
      <w:r>
        <w:t xml:space="preserve">(4) Die zuständige Behörde entscheidet auf Vorlage der Gemeinsamen Stelle nach § 31 Absatz 6 Satz 7 gegenüber dem Hersteller oder im Fall der Bevollmächtigung nach § 8 dessen Bevollmächtigten über die Berücksichtigung oder Anrechnung mitgeteilter Mengen bei der Berechnung nach § 31 Absatz 5.</w:t>
      </w:r>
    </w:p>
    <w:p>
      <w:r>
        <w:rPr>
          <w:color w:val="555555"/>
          <w:sz w:val="17"/>
        </w:rPr>
        <w:t xml:space="preserve">Zitiervorschlag: § 38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